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333" w:before="24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333"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333"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August 9, 2023</w:t>
      </w:r>
    </w:p>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333" w:before="240" w:after="283"/>
        <w:jc w:val="center"/>
        <w:rPr>
          <w:rFonts w:ascii="Times New Roman;sans-serif" w:hAnsi="Times New Roman;sans-serif"/>
          <w:b/>
          <w:color w:val="000000"/>
          <w:sz w:val="48"/>
        </w:rPr>
      </w:pPr>
      <w:r>
        <w:rPr>
          <w:rFonts w:ascii="Times New Roman;sans-serif" w:hAnsi="Times New Roman;sans-serif"/>
          <w:b/>
          <w:color w:val="000000"/>
          <w:sz w:val="48"/>
        </w:rPr>
        <w:t>Origin Materials, Inc.</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333" w:before="0" w:after="20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001-39378</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87-1388928</w:t>
            </w:r>
          </w:p>
        </w:tc>
      </w:tr>
      <w:tr>
        <w:trPr/>
        <w:tc>
          <w:tcPr>
            <w:tcW w:w="206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333" w:before="0" w:after="3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before="0" w:after="0"/>
        <w:jc w:val="center"/>
        <w:rPr/>
      </w:pPr>
      <w:r>
        <w:rPr/>
      </w:r>
    </w:p>
    <w:tbl>
      <w:tblPr>
        <w:tblW w:w="3853" w:type="dxa"/>
        <w:jc w:val="center"/>
        <w:tblInd w:w="0" w:type="dxa"/>
        <w:tblLayout w:type="fixed"/>
        <w:tblCellMar>
          <w:top w:w="28" w:type="dxa"/>
          <w:left w:w="28" w:type="dxa"/>
          <w:bottom w:w="28" w:type="dxa"/>
          <w:right w:w="28" w:type="dxa"/>
        </w:tblCellMar>
      </w:tblPr>
      <w:tblGrid>
        <w:gridCol w:w="1060"/>
        <w:gridCol w:w="930"/>
        <w:gridCol w:w="934"/>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20"/>
              </w:rPr>
            </w:pPr>
            <w:r>
              <w:rPr>
                <w:rFonts w:ascii="Times New Roman;sans-serif" w:hAnsi="Times New Roman;sans-serif"/>
                <w:b/>
                <w:color w:val="000000"/>
                <w:sz w:val="20"/>
              </w:rPr>
              <w:t>930 Riverside Parkway, Suite 10</w:t>
            </w:r>
          </w:p>
          <w:p>
            <w:pPr>
              <w:pStyle w:val="TableContents"/>
              <w:bidi w:val="0"/>
              <w:spacing w:lineRule="auto" w:line="288" w:before="0" w:after="0"/>
              <w:jc w:val="center"/>
              <w:rPr/>
            </w:pPr>
            <w:r>
              <w:rPr>
                <w:rFonts w:ascii="Times New Roman;sans-serif" w:hAnsi="Times New Roman;sans-serif"/>
                <w:b/>
                <w:color w:val="000000"/>
                <w:sz w:val="20"/>
              </w:rPr>
              <w:t>West Sacramento,</w:t>
            </w:r>
            <w:r>
              <w:rPr>
                <w:color w:val="000000"/>
              </w:rPr>
              <w:t xml:space="preserve"> </w:t>
            </w:r>
            <w:r>
              <w:rPr>
                <w:rFonts w:ascii="Times New Roman;sans-serif" w:hAnsi="Times New Roman;sans-serif"/>
                <w:b/>
                <w:color w:val="000000"/>
                <w:sz w:val="20"/>
              </w:rPr>
              <w:t>CA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95605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+1 (916) 231-9329</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333"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333"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333"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02"/>
        <w:gridCol w:w="2069"/>
        <w:gridCol w:w="2058"/>
        <w:gridCol w:w="109"/>
        <w:gridCol w:w="109"/>
        <w:gridCol w:w="109"/>
        <w:gridCol w:w="289"/>
        <w:gridCol w:w="289"/>
        <w:gridCol w:w="293"/>
        <w:gridCol w:w="109"/>
        <w:gridCol w:w="109"/>
        <w:gridCol w:w="109"/>
        <w:gridCol w:w="618"/>
        <w:gridCol w:w="591"/>
        <w:gridCol w:w="842"/>
      </w:tblGrid>
      <w:tr>
        <w:trPr/>
        <w:tc>
          <w:tcPr>
            <w:tcW w:w="250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6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NASDAQ Capital Market</w:t>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ORGNW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NASDAQ Capital Market</w:t>
            </w:r>
          </w:p>
        </w:tc>
      </w:tr>
    </w:tbl>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333"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33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2023, Origin Materials, Inc. issued a press release announcing its financial results for the three months ended June 30, 2023. A copy of the press release is furnished herewith as Exhibit 99.1 and incorporated herein by reference.</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herein and the accompanying Exhibit 99.1 are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 any filing with the Securities and Exchange Commission made by us,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333"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09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575"/>
        <w:gridCol w:w="2575"/>
        <w:gridCol w:w="367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originmaterialsearningsrel.htm">
              <w:r>
                <w:rPr>
                  <w:rStyle w:val="InternetLink"/>
                  <w:rFonts w:ascii="Times New Roman;sans-serif" w:hAnsi="Times New Roman;sans-serif"/>
                  <w:b w:val="false"/>
                  <w:color w:val="0000FF"/>
                  <w:sz w:val="20"/>
                  <w:u w:val="single"/>
                </w:rPr>
                <w:t>Press Release dated August 9, 2023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33"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Company has duly caused this report to be signed on its behalf by the undersigned hereunto duly authorized.</w:t>
      </w:r>
    </w:p>
    <w:tbl>
      <w:tblPr>
        <w:tblW w:w="5039" w:type="dxa"/>
        <w:jc w:val="left"/>
        <w:tblInd w:w="0" w:type="dxa"/>
        <w:tblLayout w:type="fixed"/>
        <w:tblCellMar>
          <w:top w:w="28" w:type="dxa"/>
          <w:left w:w="28" w:type="dxa"/>
          <w:bottom w:w="28" w:type="dxa"/>
          <w:right w:w="28" w:type="dxa"/>
        </w:tblCellMar>
      </w:tblPr>
      <w:tblGrid>
        <w:gridCol w:w="705"/>
        <w:gridCol w:w="619"/>
        <w:gridCol w:w="625"/>
        <w:gridCol w:w="360"/>
        <w:gridCol w:w="360"/>
        <w:gridCol w:w="360"/>
        <w:gridCol w:w="588"/>
        <w:gridCol w:w="588"/>
        <w:gridCol w:w="83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6"/>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color w:val="000000"/>
                <w:sz w:val="20"/>
              </w:rPr>
              <w:t>O</w:t>
            </w:r>
            <w:r>
              <w:rPr>
                <w:rFonts w:ascii="Times New Roman;sans-serif" w:hAnsi="Times New Roman;sans-serif"/>
                <w:b/>
                <w:color w:val="000000"/>
                <w:sz w:val="16"/>
              </w:rPr>
              <w:t>RIGIN</w:t>
            </w:r>
            <w:r>
              <w:rPr>
                <w:color w:val="000000"/>
              </w:rPr>
              <w:t> </w:t>
            </w:r>
            <w:r>
              <w:rPr>
                <w:rFonts w:ascii="Times New Roman;sans-serif" w:hAnsi="Times New Roman;sans-serif"/>
                <w:b/>
                <w:color w:val="000000"/>
                <w:sz w:val="20"/>
              </w:rPr>
              <w:t>M</w:t>
            </w:r>
            <w:r>
              <w:rPr>
                <w:rFonts w:ascii="Times New Roman;sans-serif" w:hAnsi="Times New Roman;sans-serif"/>
                <w:b/>
                <w:color w:val="000000"/>
                <w:sz w:val="16"/>
              </w:rPr>
              <w:t xml:space="preserve">ATERIALS, </w:t>
            </w:r>
            <w:r>
              <w:rPr>
                <w:rFonts w:ascii="Times New Roman;sans-serif" w:hAnsi="Times New Roman;sans-serif"/>
                <w:b/>
                <w:color w:val="000000"/>
                <w:sz w:val="20"/>
              </w:rPr>
              <w:t>I</w:t>
            </w:r>
            <w:r>
              <w:rPr>
                <w:rFonts w:ascii="Times New Roman;sans-serif" w:hAnsi="Times New Roman;sans-serif"/>
                <w:b/>
                <w:color w:val="000000"/>
                <w:sz w:val="16"/>
              </w:rPr>
              <w:t>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9, 2023</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N</w:t>
            </w:r>
            <w:r>
              <w:rPr>
                <w:rFonts w:ascii="Times New Roman;sans-serif" w:hAnsi="Times New Roman;sans-serif"/>
                <w:b w:val="false"/>
                <w:color w:val="000000"/>
                <w:sz w:val="16"/>
              </w:rPr>
              <w:t>ATE </w:t>
            </w:r>
            <w:r>
              <w:rPr>
                <w:rFonts w:ascii="Times New Roman;sans-serif" w:hAnsi="Times New Roman;sans-serif"/>
                <w:b w:val="false"/>
                <w:color w:val="000000"/>
                <w:sz w:val="20"/>
              </w:rPr>
              <w:t>W</w:t>
            </w:r>
            <w:r>
              <w:rPr>
                <w:rFonts w:ascii="Times New Roman;sans-serif" w:hAnsi="Times New Roman;sans-serif"/>
                <w:b w:val="false"/>
                <w:color w:val="000000"/>
                <w:sz w:val="16"/>
              </w:rPr>
              <w:t>HALEY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Nate Whaley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0"/>
        <w:jc w:val="center"/>
        <w:rPr>
          <w:rFonts w:ascii="Arial;sans-serif" w:hAnsi="Arial;sans-serif"/>
          <w:b/>
          <w:color w:val="000000"/>
          <w:sz w:val="36"/>
        </w:rPr>
      </w:pPr>
      <w:r>
        <w:rPr>
          <w:rFonts w:ascii="Arial;sans-serif" w:hAnsi="Arial;sans-serif"/>
          <w:b/>
          <w:color w:val="000000"/>
          <w:sz w:val="36"/>
        </w:rPr>
        <w:t>Origin Materials, Inc. Reports Operating and Financial Results for Second Quarter 2023</w:t>
      </w:r>
    </w:p>
    <w:p>
      <w:pPr>
        <w:pStyle w:val="TextBody"/>
        <w:bidi w:val="0"/>
        <w:spacing w:before="0" w:after="120"/>
        <w:ind w:left="0" w:right="0" w:firstLine="720"/>
        <w:jc w:val="center"/>
        <w:rPr/>
      </w:pPr>
      <w:r>
        <w:rPr/>
      </w:r>
    </w:p>
    <w:p>
      <w:pPr>
        <w:pStyle w:val="TextBody"/>
        <w:bidi w:val="0"/>
        <w:spacing w:lineRule="auto" w:line="376" w:before="0" w:after="120"/>
        <w:jc w:val="center"/>
        <w:rPr>
          <w:color w:val="000000"/>
        </w:rPr>
      </w:pPr>
      <w:r>
        <w:rPr>
          <w:color w:val="000000"/>
        </w:rPr>
        <w:t xml:space="preserve">– </w:t>
      </w:r>
      <w:r>
        <w:rPr>
          <w:rFonts w:ascii="Arial;sans-serif" w:hAnsi="Arial;sans-serif"/>
          <w:b w:val="false"/>
          <w:color w:val="000000"/>
          <w:sz w:val="24"/>
        </w:rPr>
        <w:t>Origin 1 Initiated Start-Up, In-Line with Prior Guidance –</w:t>
      </w:r>
    </w:p>
    <w:p>
      <w:pPr>
        <w:pStyle w:val="TextBody"/>
        <w:bidi w:val="0"/>
        <w:spacing w:lineRule="auto" w:line="376" w:before="0" w:after="120"/>
        <w:jc w:val="center"/>
        <w:rPr>
          <w:color w:val="000000"/>
        </w:rPr>
      </w:pPr>
      <w:r>
        <w:rPr>
          <w:color w:val="000000"/>
        </w:rPr>
        <w:t xml:space="preserve">– </w:t>
      </w:r>
      <w:r>
        <w:rPr>
          <w:rFonts w:ascii="Arial;sans-serif" w:hAnsi="Arial;sans-serif"/>
          <w:b w:val="false"/>
          <w:color w:val="000000"/>
          <w:sz w:val="24"/>
        </w:rPr>
        <w:t>FDCA Mass Production Moves Forward to Origin 2, Rather Than Origin 3 as Initially Planned, Due to Strong Commercialization Progress and Higher-Margin Opportunities –</w:t>
      </w:r>
    </w:p>
    <w:p>
      <w:pPr>
        <w:pStyle w:val="TextBody"/>
        <w:bidi w:val="0"/>
        <w:spacing w:lineRule="auto" w:line="376" w:before="0" w:after="120"/>
        <w:jc w:val="center"/>
        <w:rPr>
          <w:color w:val="000000"/>
        </w:rPr>
      </w:pPr>
      <w:r>
        <w:rPr>
          <w:color w:val="000000"/>
        </w:rPr>
        <w:t xml:space="preserve">– </w:t>
      </w:r>
      <w:r>
        <w:rPr>
          <w:rFonts w:ascii="Arial;sans-serif" w:hAnsi="Arial;sans-serif"/>
          <w:b w:val="false"/>
          <w:color w:val="000000"/>
          <w:sz w:val="24"/>
        </w:rPr>
        <w:t>Origin 2 Outlook Updated; Phased Construction Plan Reduces Risk on Path to Profitability, with Phase 1 Start-Up Expected in Late 2026 to 2027, Phase 2 Start-Up Expected in 2028 –</w:t>
      </w:r>
    </w:p>
    <w:p>
      <w:pPr>
        <w:pStyle w:val="TextBody"/>
        <w:bidi w:val="0"/>
        <w:spacing w:lineRule="auto" w:line="376" w:before="0" w:after="120"/>
        <w:jc w:val="center"/>
        <w:rPr>
          <w:color w:val="000000"/>
        </w:rPr>
      </w:pPr>
      <w:r>
        <w:rPr>
          <w:color w:val="000000"/>
        </w:rPr>
        <w:t xml:space="preserve">– </w:t>
      </w:r>
      <w:r>
        <w:rPr>
          <w:rFonts w:ascii="Arial;sans-serif" w:hAnsi="Arial;sans-serif"/>
          <w:b w:val="false"/>
          <w:color w:val="000000"/>
          <w:sz w:val="24"/>
        </w:rPr>
        <w:t>Origin to Supply Para-Xylene for Bio-PET to Customers Prior to 2030 Primarily Through Collaborations with Strategic Partners –</w:t>
      </w:r>
    </w:p>
    <w:p>
      <w:pPr>
        <w:pStyle w:val="TextBody"/>
        <w:bidi w:val="0"/>
        <w:spacing w:lineRule="auto" w:line="376" w:before="0" w:after="120"/>
        <w:jc w:val="center"/>
        <w:rPr>
          <w:color w:val="000000"/>
        </w:rPr>
      </w:pPr>
      <w:r>
        <w:rPr>
          <w:color w:val="000000"/>
        </w:rPr>
        <w:t xml:space="preserve">– </w:t>
      </w:r>
      <w:r>
        <w:rPr>
          <w:rFonts w:ascii="Arial;sans-serif" w:hAnsi="Arial;sans-serif"/>
          <w:b w:val="false"/>
          <w:color w:val="000000"/>
          <w:sz w:val="24"/>
        </w:rPr>
        <w:t>Maintains 2023 Revenue and Adjusted EBITDA Outlook, Customer Demand Exceeds $10 Billion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WEST SACRAMENTO, CA., August 9, 2023 – Origin Materials, Inc. (“Origin,” “Origin Materials,” or the “Company”) (Nasdaq: ORGN, ORGNW), the world’s leading carbon negative materials company with a mission to enable the world’s transition to sustainable materials, today announced financial results for its second quarter ended June 30, 2023.</w:t>
      </w:r>
    </w:p>
    <w:p>
      <w:pPr>
        <w:pStyle w:val="TextBody"/>
        <w:bidi w:val="0"/>
        <w:spacing w:before="0" w:after="0"/>
        <w:jc w:val="both"/>
        <w:rPr/>
      </w:pPr>
      <w:r>
        <w:rPr/>
      </w:r>
    </w:p>
    <w:p>
      <w:pPr>
        <w:pStyle w:val="TextBody"/>
        <w:bidi w:val="0"/>
        <w:spacing w:lineRule="auto" w:line="376"/>
        <w:jc w:val="both"/>
        <w:rPr>
          <w:color w:val="000000"/>
        </w:rPr>
      </w:pPr>
      <w:r>
        <w:rPr>
          <w:color w:val="000000"/>
        </w:rPr>
        <w:t>“</w:t>
      </w:r>
      <w:r>
        <w:rPr>
          <w:rFonts w:ascii="Arial;sans-serif" w:hAnsi="Arial;sans-serif"/>
          <w:b w:val="false"/>
          <w:color w:val="000000"/>
          <w:sz w:val="24"/>
        </w:rPr>
        <w:t xml:space="preserve">In the second quarter, the Origin team continued to execute on our mission to enable the world’s transition to sustainable materials. In June, we announced that Origin 1, the world’s first commercial-scale plant to produce Origin’s intermediates – CMF, HTC, and oils and extractives – had initiated start-up. This is a major milestone in the deployment of our core technology platform, and we look forward to delivering materials to our customers and strategic partners. Since Origin became publicly traded in 2021, we have witnessed profound market shifts, presenting both opportunities and challenges. The greatest opportunity has been the commercialization of FDCA. Indeed, today we are pleased to announce that we are updating the product slate at our second commercial plant, Origin 2, to focus on the production of FDCA, for which we have seen much greater demand than anticipated, as we indicated in February. While we initially expected Origin 2 to primarily focus on para-xylene (‘pX’) production for bio-PET, we have made significant progress in FDCA product development and commercialization and we now plan to bring FDCA forward to Origin 2, rather than at our third planned commercial plant, Origin 3, as initially reported in 2021. FDCA is a highly strategic focus for our platform, as its applications tend to offer performance advantages, higher margins, and thus higher value uplift for our platform intermediate, CMF. Today we also face new challenges. As we first indicated in May 2022, we are facing a higher-cost capital project environment than in early 2021,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8620"/>
                <wp:effectExtent l="0" t="0" r="0" b="0"/>
                <wp:wrapNone/>
                <wp:docPr id="6" name="Frame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when we announced the initial plan for Origin 2. As such, we are revising the plant’s outlook and introducing a phased approach to construction. We expect that adapting in this manner to the high-cost environment will reduce project risk as we move forward on the path to profitability, with Phase 1 start-up projected for late 2026 to 2027 and Phase 2 start-up projected for 2028. We remain confident in our ability to execute as we operate Origin 1, scale and develop our technology platform, and pursue our global licensing strategy. In addition, we were excited to announce new strategic partnerships and initiatives with Sustainea Bioglycols, Terphane, Proman, and Husky Technologies, many of which represent strong positive momentum for FDCA commercialization. We also announced a breakthrough in recycling with Origin’s ‘all PET’ cap and bottle solutions, designed to make containers more sustainable. Finally, we strengthened our Board with the appointment of Jim Stephanou, a world-class director who brings decades of relevant experience and a proven track record of leading manufacturing and technology initiatives for global companies. Looking ahead, with Origin 1 initiating start-up, we are thrilled to enter this new phase of our journey in bringing our ‘net zero’-enabling materials to the world,” said Rich Riley, Co-Chief Executive Officer of Origin. </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Key Company Second Quarter and Recent Business Highlights</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Origin Materials reported quarterly revenue of $6.9 million generated by joint development agreements and the Company’s supply chain activation program, with total signed offtake agreements and capacity reservations in excess of $10 billion. The Company also implemented new and expanded partnerships and customer relationships, including:</w:t>
      </w:r>
    </w:p>
    <w:p>
      <w:pPr>
        <w:pStyle w:val="TextBody"/>
        <w:bidi w:val="0"/>
        <w:spacing w:before="0" w:after="0"/>
        <w:jc w:val="both"/>
        <w:rPr/>
      </w:pPr>
      <w:r>
        <w:rPr/>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Partnership with Sustainea Bioglycols, a joint venture between Braskem (NYSE: BAK) and Sojitz Corporation, centered on advanced bio-based materials produced using Origin’s technology platform and Sustainea’s bio-based glycol products and market expertise. As part of the partnership, Sustainea signed two multi-year capacity reservation agreements to purchase renewable chemicals from Origin Materials, including bio-based PTA and bio-based FDCA.</w:t>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 xml:space="preserve">Partnership with Terphane, a global leader in specialty PET polyester films (“BOPET”), to produce sustainable, high-performance bio-polymer films. As part of the partnership, Terphane signed a multi-year capacity reservation agreement to purchase the advanced bio-polymer PEF for use in film applications, including food and beverage packaging and high-value industrial applications. </w:t>
      </w:r>
    </w:p>
    <w:p>
      <w:pPr>
        <w:pStyle w:val="TextBody"/>
        <w:bidi w:val="0"/>
        <w:spacing w:lineRule="auto" w:line="376"/>
        <w:ind w:left="0" w:right="0" w:hanging="360"/>
        <w:jc w:val="both"/>
        <w:rPr/>
      </w:pPr>
      <w:r>
        <w:rPr>
          <w:color w:val="000000"/>
        </w:rPr>
        <w:t>•</w:t>
      </w:r>
      <w:r>
        <w:rPr>
          <w:rFonts w:ascii="Arial;sans-serif" w:hAnsi="Arial;sans-serif"/>
          <w:b w:val="false"/>
          <w:color w:val="000000"/>
          <w:sz w:val="24"/>
        </w:rPr>
        <w:t>Partnership with Proman, a global leader in natural gas-derived products and one of the world’s largest producers of methanol, centered on low-carbon biofuel production utilizing Origin’s technology platform and Proman’s worldwide fuels capabilities and expertise. As part of the partnership, Proman and Origin Materials signed an agreement to explore the production and global distribution of low-carbon biofuels.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8620"/>
                <wp:effectExtent l="0" t="0" r="0" b="0"/>
                <wp:wrapNone/>
                <wp:docPr id="7" name="Frame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Additional second quarter and recent business highlights include: </w:t>
      </w:r>
    </w:p>
    <w:p>
      <w:pPr>
        <w:pStyle w:val="TextBody"/>
        <w:bidi w:val="0"/>
        <w:spacing w:before="0" w:after="0"/>
        <w:jc w:val="both"/>
        <w:rPr/>
      </w:pPr>
      <w:r>
        <w:rPr/>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Origin Materials Announces Startup of Origin 1, World’s First Commercial CMF Plant. New fundamental chemical building block, CMF, is expected to be available at commercial scale for the first time. Plant is designed to scale-up and deploy Company’s core technology platform, with a focus on funded joint development programs and qualifying materials for higher value applications.</w:t>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Origin Materials and Husky Achieve Commercialization Milestone for Advanced Packaging. Recyclable PET polymer incorporating FDCA was successfully processed into preforms using Husky’s commercial-scale injection molding equipment and subsequently bottles. Origin’s novel hybrid polymer “PET/F” is expected to deliver enhanced performance compared with traditional PET and have up to 100% bio content.</w:t>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Origin Materials Creates Sustainable PET Bottle Caps, Enabling “All PET Mono-Material” Bottle and Cap Solutions, a Breakthrough in Recycling and Circularity. Origin’s patent-pending PET caps and tamper-resistant closures can be cost-competitively produced using recycled PET or bio-based PET. This “mono-material” makes “100% recycled PET” possible from cap to bottle and improves recyclability, because it is all one material, without the need for recyclers to separate caps from bottles. PET offers better oxygen and CO</w:t>
      </w:r>
      <w:r>
        <w:rPr>
          <w:rFonts w:ascii="Arial;sans-serif" w:hAnsi="Arial;sans-serif"/>
          <w:b w:val="false"/>
          <w:color w:val="000000"/>
          <w:sz w:val="16"/>
        </w:rPr>
        <w:t>2</w:t>
      </w:r>
      <w:r>
        <w:rPr>
          <w:color w:val="000000"/>
        </w:rPr>
        <w:t xml:space="preserve"> </w:t>
      </w:r>
      <w:r>
        <w:rPr>
          <w:rFonts w:ascii="Arial;sans-serif" w:hAnsi="Arial;sans-serif"/>
          <w:b w:val="false"/>
          <w:color w:val="000000"/>
          <w:sz w:val="24"/>
        </w:rPr>
        <w:t>barrier than HDPE and PP, common cap materials.</w:t>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Origin Materials Announces Appointment of Jim Stephanou to Board of Directors. Mr. Stephanou’s more than three decades of manufacturing, operations, and engineering experience enhances Board expertise.</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 xml:space="preserve">Origin 2 Financing and Construction Update </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For Origin 2, the Company is updating its previously disclosed capital budget and construction timeline. During the second quarter, Origin completed detailed assessments with its engineering partners and updated its capital project plan based on the results. Significant market shifts have presented both opportunities and challenges. Factors influencing the updated plan include:</w:t>
      </w:r>
    </w:p>
    <w:p>
      <w:pPr>
        <w:pStyle w:val="TextBody"/>
        <w:bidi w:val="0"/>
        <w:spacing w:before="0" w:after="0"/>
        <w:jc w:val="both"/>
        <w:rPr/>
      </w:pPr>
      <w:r>
        <w:rPr/>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Significantly higher than anticipated demand for higher-margin products including FDCA, PEF, and liquid biofuels.</w:t>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 xml:space="preserve">Increased cost of labor, materials, process inputs, metallurgy (e.g., steel) due to volatile global materials markets, requiring engineering re-work. </w:t>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Inflation and higher interest rates.</w:t>
      </w:r>
    </w:p>
    <w:p>
      <w:pPr>
        <w:pStyle w:val="TextBody"/>
        <w:bidi w:val="0"/>
        <w:spacing w:lineRule="auto" w:line="376"/>
        <w:ind w:left="0" w:right="0" w:hanging="360"/>
        <w:jc w:val="both"/>
        <w:rPr/>
      </w:pPr>
      <w:r>
        <w:rPr>
          <w:color w:val="000000"/>
        </w:rPr>
        <w:t>•</w:t>
      </w:r>
      <w:r>
        <w:rPr>
          <w:rFonts w:ascii="Arial;sans-serif" w:hAnsi="Arial;sans-serif"/>
          <w:b w:val="false"/>
          <w:color w:val="000000"/>
          <w:sz w:val="24"/>
        </w:rPr>
        <w:t>Higher costs due to COVID-related supply chain constraints and additional value engineering requirements that have extended project timelines.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8620"/>
                <wp:effectExtent l="0" t="0" r="0" b="0"/>
                <wp:wrapNone/>
                <wp:docPr id="8" name="Frame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The Company now expects Origin 2 to be completed in two phases, with Phase 1 estimated to be completed in late 2026 to 2027, and Phase 2 estimated to be completed in 2028, compared with our initial expectation for a mid-2025 completion. During Phase 1, the Company expects to achieve profitability from its oils and extractives stream. From this stream, Origin plans to produce a drop-in biofuel with potential applications including marine fuel and heat and power generation. Potential product benefits include improved energy density compared with existing renewable alternatives and the sustainability benefits of increased bio-content – value propositions expected to be in high demand given, among other things, the decarbonization goals set out by the International Maritime Organization, a body of the United Nations. Phase 2 will expand production to include the mass production of platform chemicals CMF and HTC. Phasing the plant is intended to enhance overall efficiency while improving short-term and long-term economics. </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The Company continues to make progress developing new products and applications related to the design of Origin 2, including FDCA, PEF, PET/F, and liquid biofuels derived from our oils and extractives stream. Origin 2 production will focus primarily on FDCA, rather than pX for bio-PET as planned in early 2021. Apart from potential Origin 2 production, Origin plans to supply bio-pX to customers primarily through collaborations with strategic partners. Origin has been in active discussions with multiple strategic partners interested in licensing or co-developing low carbon bio-pX plants using Origin’s technology, both in the U.S. and across the globe, most of which are large, well-capitalized industrial producers of petro-PTA, PET, and other downstream products.</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The capital budget for Phase 1 of Origin 2 is expected to be up to $400 million while the capital budget for Phase 2 is projected to be up to $1.2 billion. This compares to the original $1.07 billion aggregate capital budget estimate originally provided in February 2021. The Company is exploring multiple opportunities to finance Origin 2 including a combination of existing cash, previously indicated traditional project financing, federal and state government programs, licensing agreements, and strategic partnerships. The Company expects capital expenditure of up to $50 million for 2024, with the majority of Origin 2 capital spend to occur following the project's final investment decision (“FID”) in 2025.</w:t>
      </w:r>
    </w:p>
    <w:p>
      <w:pPr>
        <w:pStyle w:val="TextBody"/>
        <w:bidi w:val="0"/>
        <w:spacing w:before="0" w:after="0"/>
        <w:jc w:val="both"/>
        <w:rPr/>
      </w:pPr>
      <w:r>
        <w:rPr/>
      </w:r>
    </w:p>
    <w:p>
      <w:pPr>
        <w:pStyle w:val="TextBody"/>
        <w:bidi w:val="0"/>
        <w:spacing w:lineRule="auto" w:line="376"/>
        <w:jc w:val="both"/>
        <w:rPr>
          <w:rFonts w:ascii="Arial;sans-serif" w:hAnsi="Arial;sans-serif"/>
          <w:b w:val="false"/>
          <w:color w:val="000000"/>
          <w:sz w:val="24"/>
        </w:rPr>
      </w:pPr>
      <w:r>
        <w:rPr>
          <w:rFonts w:ascii="Arial;sans-serif" w:hAnsi="Arial;sans-serif"/>
          <w:b w:val="false"/>
          <w:color w:val="000000"/>
          <w:sz w:val="24"/>
        </w:rPr>
        <w:t xml:space="preserve">In January, Origin announced that the Louisiana State Bond Commission unanimously passed a resolution granting its final approval of the issuance of up to $1.5 billion of tax-exempt bonds to support construction and commissioning of Origin 2. This amount is inclusive of and builds on the strong foundation of the previously announced expected $400 million in Private Activity Bond (“PAB”) volume cap allocation. Bank of America has been engaged by Origin to underwrite the bonds and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8620"/>
                <wp:effectExtent l="0" t="0" r="0" b="0"/>
                <wp:wrapNone/>
                <wp:docPr id="9" name="Frame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market them to investors. We continue to believe the debt financing of Origin 2 could be achieved using entirely tax-exempt bonds. </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Origin continues to work with leading financial institutions on other forms of traditional private financing and federal loan programs, including through the United States Department of Agriculture and Department of Energy, and to pursue other local, state, and federal incentives programs to optimize the financing of Origin 2. These include certain 2021 Infrastructure Investment and Jobs Act and 2022 Inflation Reduction Act provisions, including the Department of Energy's Advanced Industrial Facilities Deployment Program, or AIFD, and the Section 48C Advanced Manufacturing Tax Credit. Finally, given Origin's ongoing global technology licensing effort and an active governmental affairs team, the Company anticipates strategic partnerships as well as state and federal incentives programs will play a meaningful role in the financing of Origin 2. </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Results for Second Quarter 2023</w:t>
      </w:r>
    </w:p>
    <w:p>
      <w:pPr>
        <w:pStyle w:val="TextBody"/>
        <w:bidi w:val="0"/>
        <w:spacing w:lineRule="auto" w:line="376" w:before="0" w:after="240"/>
        <w:jc w:val="both"/>
        <w:rPr>
          <w:rFonts w:ascii="Arial;sans-serif" w:hAnsi="Arial;sans-serif"/>
          <w:b w:val="false"/>
          <w:color w:val="000000"/>
          <w:sz w:val="24"/>
        </w:rPr>
      </w:pPr>
      <w:r>
        <w:rPr>
          <w:rFonts w:ascii="Arial;sans-serif" w:hAnsi="Arial;sans-serif"/>
          <w:b w:val="false"/>
          <w:color w:val="000000"/>
          <w:sz w:val="24"/>
        </w:rPr>
        <w:t>Cash, cash equivalents and marketable securities were $217.7 million as of June 30, 2023.</w:t>
      </w:r>
    </w:p>
    <w:p>
      <w:pPr>
        <w:pStyle w:val="TextBody"/>
        <w:bidi w:val="0"/>
        <w:spacing w:lineRule="auto" w:line="376" w:before="0" w:after="240"/>
        <w:jc w:val="both"/>
        <w:rPr>
          <w:rFonts w:ascii="Arial;sans-serif" w:hAnsi="Arial;sans-serif"/>
          <w:b w:val="false"/>
          <w:color w:val="000000"/>
          <w:sz w:val="24"/>
        </w:rPr>
      </w:pPr>
      <w:r>
        <w:rPr>
          <w:rFonts w:ascii="Arial;sans-serif" w:hAnsi="Arial;sans-serif"/>
          <w:b w:val="false"/>
          <w:color w:val="000000"/>
          <w:sz w:val="24"/>
        </w:rPr>
        <w:t xml:space="preserve">Revenue for the second quarter was $6.9 million compared to zero in the prior-year period. </w:t>
      </w:r>
    </w:p>
    <w:p>
      <w:pPr>
        <w:pStyle w:val="TextBody"/>
        <w:bidi w:val="0"/>
        <w:spacing w:lineRule="auto" w:line="376" w:before="0" w:after="240"/>
        <w:jc w:val="both"/>
        <w:rPr>
          <w:rFonts w:ascii="Arial;sans-serif" w:hAnsi="Arial;sans-serif"/>
          <w:b w:val="false"/>
          <w:color w:val="000000"/>
          <w:sz w:val="24"/>
        </w:rPr>
      </w:pPr>
      <w:r>
        <w:rPr>
          <w:rFonts w:ascii="Arial;sans-serif" w:hAnsi="Arial;sans-serif"/>
          <w:b w:val="false"/>
          <w:color w:val="000000"/>
          <w:sz w:val="24"/>
        </w:rPr>
        <w:t xml:space="preserve">Operating expenses for the second quarter were $14.4 million compared to $8.7 million in the prior-year period. </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Net loss was $6.3 million for the second quarter compared to net income of $46.9 million in the prior-year period. </w:t>
      </w:r>
    </w:p>
    <w:p>
      <w:pPr>
        <w:pStyle w:val="TextBody"/>
        <w:bidi w:val="0"/>
        <w:spacing w:before="0" w:after="0"/>
        <w:jc w:val="both"/>
        <w:rPr/>
      </w:pPr>
      <w:r>
        <w:rPr/>
      </w:r>
    </w:p>
    <w:p>
      <w:pPr>
        <w:pStyle w:val="TextBody"/>
        <w:bidi w:val="0"/>
        <w:spacing w:lineRule="auto" w:line="376" w:before="0" w:after="240"/>
        <w:jc w:val="both"/>
        <w:rPr>
          <w:rFonts w:ascii="Arial;sans-serif" w:hAnsi="Arial;sans-serif"/>
          <w:b w:val="false"/>
          <w:color w:val="000000"/>
          <w:sz w:val="24"/>
        </w:rPr>
      </w:pPr>
      <w:r>
        <w:rPr>
          <w:rFonts w:ascii="Arial;sans-serif" w:hAnsi="Arial;sans-serif"/>
          <w:b w:val="false"/>
          <w:color w:val="000000"/>
          <w:sz w:val="24"/>
        </w:rPr>
        <w:t xml:space="preserve">Adjusted EBITDA loss was $11.7 million for the second quarter compared to a loss of $6.9 million in the prior-year period. </w:t>
      </w:r>
    </w:p>
    <w:p>
      <w:pPr>
        <w:pStyle w:val="TextBody"/>
        <w:bidi w:val="0"/>
        <w:spacing w:lineRule="auto" w:line="376" w:before="0" w:after="240"/>
        <w:jc w:val="both"/>
        <w:rPr>
          <w:rFonts w:ascii="Arial;sans-serif" w:hAnsi="Arial;sans-serif"/>
          <w:b w:val="false"/>
          <w:color w:val="000000"/>
          <w:sz w:val="24"/>
        </w:rPr>
      </w:pPr>
      <w:r>
        <w:rPr>
          <w:rFonts w:ascii="Arial;sans-serif" w:hAnsi="Arial;sans-serif"/>
          <w:b w:val="false"/>
          <w:color w:val="000000"/>
          <w:sz w:val="24"/>
        </w:rPr>
        <w:t>Shares outstanding as of June 30, 2023 were 143.5 million including 4.5 million shares that are subject to forfeiture based on share price performance targets previously disclosed in our filings.</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Full Year 2023 Outlook</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Based on current business conditions, business trends and other factors, the Company is maintaining the following guidance for revenue and Adjusted EBITDA for fiscal year 2023:</w:t>
      </w:r>
    </w:p>
    <w:p>
      <w:pPr>
        <w:pStyle w:val="TextBody"/>
        <w:bidi w:val="0"/>
        <w:spacing w:before="0" w:after="0"/>
        <w:jc w:val="both"/>
        <w:rPr/>
      </w:pPr>
      <w:r>
        <w:rPr/>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Revenue of $40 million to $60 million</w:t>
      </w:r>
    </w:p>
    <w:p>
      <w:pPr>
        <w:pStyle w:val="TextBody"/>
        <w:bidi w:val="0"/>
        <w:spacing w:lineRule="auto" w:line="376" w:before="0" w:after="0"/>
        <w:ind w:left="0" w:right="0" w:hanging="360"/>
        <w:jc w:val="both"/>
        <w:rPr/>
      </w:pPr>
      <w:r>
        <w:rPr>
          <w:color w:val="000000"/>
        </w:rPr>
        <w:t>•</w:t>
      </w:r>
      <w:r>
        <w:rPr>
          <w:rFonts w:ascii="Arial;sans-serif" w:hAnsi="Arial;sans-serif"/>
          <w:b w:val="false"/>
          <w:color w:val="000000"/>
          <w:sz w:val="24"/>
        </w:rPr>
        <w:t xml:space="preserve">Adjusted EBITDA loss of $50 million to $60 million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8620"/>
                <wp:effectExtent l="0" t="0" r="0" b="0"/>
                <wp:wrapNone/>
                <wp:docPr id="10" name="Frame1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For a reconciliation of a non-GAAP figure to the applicable GAAP figure, please see the table captioned ‘Reconciliation of GAAP and Non-GAAP Results' set forth at the end of this press release. These expectations do not consider, or give effect to, among other things, unforeseen events, including changes in global economic conditions.</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Webcast and Conference Call Information</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Company management will host a webcast and conference call on August 9, 2023, at 5:00 p.m. Eastern Time, to discuss the Company's financial results. </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Interested investors and other parties can listen to a webcast of the live conference call and access the Company’s second quarter update presentation by logging onto the Investor Relations section of the Company's website at https://investors.originmaterials.com/.</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The conference call can be accessed live over the phone by dialing 1-855-327-6837 (domestic) or +1-631-891-4304 (international). A telephonic replay will be available approximately two hours after the call by dialing 1-844-512-2921, or for international callers, +1-412-317-6671. The conference ID for the live call and pin number for the replay is 10022002. The replay will be available until 11:59 p.m. Eastern Time on August 16, 2023.</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About Origin Materials, Inc.</w:t>
      </w:r>
    </w:p>
    <w:p>
      <w:pPr>
        <w:pStyle w:val="TextBody"/>
        <w:bidi w:val="0"/>
        <w:spacing w:lineRule="auto" w:line="376" w:before="0" w:after="0"/>
        <w:jc w:val="both"/>
        <w:rPr/>
      </w:pPr>
      <w:r>
        <w:rPr>
          <w:rFonts w:ascii="Arial;sans-serif" w:hAnsi="Arial;sans-serif"/>
          <w:b w:val="false"/>
          <w:color w:val="000000"/>
          <w:sz w:val="24"/>
        </w:rPr>
        <w:t>Headquartered in West Sacramento, Origin Materials is the world's leading carbon negative materials company. Origin’s mission is to enable the world’s transition to sustainable materials. For over a decade, Origin has developed a platform for turning the carbon found in inexpensive, plentiful, non-food biomass such as sustainable wood residues into useful materials while capturing carbon in the process. Origin’s patented technology platform can help revolutionize the production of a wide range of end products, including clothing, textiles, plastics, packaging, car parts, tires, carpeting, toys, fuels, and more with a ~$1 trillion addressable market. In addition, Origin’s technology platform is expected to provide stable pricing largely decoupled from the petroleum supply chain, which is exposed to more volatility than supply chains based on sustainable wood residues. Origin’s patented drop-in core technology, economics and carbon impact are supported by a growing list of major global customers and investors. For more information, visit www.originmaterials.com</w:t>
      </w:r>
      <w:r>
        <w:rPr>
          <w:rFonts w:ascii="Arial;sans-serif" w:hAnsi="Arial;sans-serif"/>
          <w:b w:val="false"/>
          <w:i/>
          <w:color w:val="000000"/>
          <w:sz w:val="24"/>
        </w:rPr>
        <w:t>.</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Contacts</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Origin Materials</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Investors: </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ir@originmaterials.com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8620"/>
                <wp:effectExtent l="0" t="0" r="0" b="0"/>
                <wp:wrapNone/>
                <wp:docPr id="11" name="Frame1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Media:</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media@originmaterials.com</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Non-GAAP Financial Information</w: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To supplement the Company’s financial results presented in accordance with generally accepted accounting principles in the United States ("U.S. GAAP"), the Company also uses non-GAAP financial measures, including Adjusted EBITDA, as supplemental measures to review and assess the Company’s operating performance. Adjusted EBITDA is defined as net income or loss adjusted for (i) stock-based compensation expense, (ii) depreciation and amortization, (iii) interest income, (iv) interest expense, (v) change in fair value of derivative, (vi) change in fair value of warrants liability, (vii) change in fair value of earnout liability, and (viii) other (income) expenses, net. The Company believes that these non-GAAP financial measures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 </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Non-GAAP financial measures are not defined under U.S. GAAP and are not presented in accordance with U.S. GAAP. These non-GAAP financial measures have limitations as analytical tools, and when assessing the Company’s operating performance, investors should not consider them in isolation. In addition, calculations of this non-GAAP financial information may be different from calculations used by other companies, and therefore comparability may be limited.</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The Company mitigates these limitations by reconciling the non-GAAP financial measures to the most comparable U.S. GAAP performance measures, all of which should be considered when evaluating our performance.</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The Company is unable to reconcile forward-looking Adjusted EBITDA information provided in this press release to net income, the most closely comparable U.S. GAAP financial measure, without unreasonable efforts. The Company is currently unable to predict with a reasonable degree of certainty the type and extent of certain items expected to impact net income in the future but not expected to impact forward-looking Adjusted EBITDA. These include, among other things, stock-based compensation expense, depreciation and amortization, interest income, and interest expense, which are inherently unpredictable. The Company currently expects to continue to exclude these items in future disclosures of any forward-looking Adjusted EBITDA and may also exclude other items that may arise. Information related to these items, which is unavailable at this time, could have a significant impact on the Company’s U.S. GAAP net income.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8620"/>
                <wp:effectExtent l="0" t="0" r="0" b="0"/>
                <wp:wrapNone/>
                <wp:docPr id="12" name="Frame1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For more information on this non-GAAP financial measure, please see the table captioned “Reconciliation of GAAP and Non-GAAP Results” set forth at the end of this press release. </w:t>
      </w:r>
    </w:p>
    <w:p>
      <w:pPr>
        <w:pStyle w:val="TextBody"/>
        <w:bidi w:val="0"/>
        <w:spacing w:before="0" w:after="0"/>
        <w:jc w:val="both"/>
        <w:rPr/>
      </w:pPr>
      <w:r>
        <w:rPr/>
      </w:r>
    </w:p>
    <w:p>
      <w:pPr>
        <w:pStyle w:val="TextBody"/>
        <w:bidi w:val="0"/>
        <w:spacing w:lineRule="auto" w:line="376" w:before="0" w:after="0"/>
        <w:jc w:val="both"/>
        <w:rPr>
          <w:rFonts w:ascii="Arial;sans-serif" w:hAnsi="Arial;sans-serif"/>
          <w:b/>
          <w:color w:val="000000"/>
          <w:sz w:val="24"/>
        </w:rPr>
      </w:pPr>
      <w:r>
        <w:rPr>
          <w:rFonts w:ascii="Arial;sans-serif" w:hAnsi="Arial;sans-serif"/>
          <w:b/>
          <w:color w:val="000000"/>
          <w:sz w:val="24"/>
        </w:rPr>
        <w:t>Cautionary Note on Forward-Looking Statements</w:t>
      </w:r>
    </w:p>
    <w:p>
      <w:pPr>
        <w:pStyle w:val="TextBody"/>
        <w:bidi w:val="0"/>
        <w:spacing w:lineRule="auto" w:line="376"/>
        <w:jc w:val="both"/>
        <w:rPr>
          <w:rFonts w:ascii="Arial;sans-serif" w:hAnsi="Arial;sans-serif"/>
          <w:b w:val="false"/>
          <w:color w:val="000000"/>
          <w:sz w:val="24"/>
        </w:rPr>
      </w:pPr>
      <w:r>
        <w:rPr>
          <w:rFonts w:ascii="Arial;sans-serif" w:hAnsi="Arial;sans-serif"/>
          <w:b w:val="false"/>
          <w:color w:val="000000"/>
          <w:sz w:val="24"/>
        </w:rPr>
        <w:t xml:space="preserve">This press release contains certain forward-looking statements within the meaning of the federal securities laws.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Origin Materials’ business strategy, estimated total addressable market, anticipated synergies from partnerships, access to financing sources, budget and timelines for Origin 2, ability to de-risk path to profitability, anticipated timing to profitability, anticipated benefits of and demand for our potential products and platform, higher margin opportunity for FDCA, benefits of updating the product slate at Origin 2, ability to convert capacity reservations and offtake agreements into revenue, commercial and operating plans, product development plans and announcements of such plans, anticipated growth and projected financial information and ability to realize the anticipated benefits of any partnerships discussed in the press release. These statements are based on various assumptions, whether or not identified in this press release, and on the current expectations of the management of Origin Materials and are not predictions of actual performance.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actual events and circumstances are beyond the control of Origin Materials. These forward-looking statements are subject to a number of risks and uncertainties, including that Origin Materials may be unable to successfully commercialize its products; the effects of competition on Origin Materials’ business; the uncertainty of the projected financial information with respect to Origin; disruptions and other impacts to Origin’s business as a result of Russia’s military intervention in Ukraine, the impact of severe weather events, and other global health or economic crises; changes in customer demand; and those factors discussed in the Quarterly Report on Form 10-Q filed with the U.S. Securities and Exchange Commission (“SEC”) on August 9, 2023, under the heading “Risk Factors,” and other documents Origin Materials has filed, or will file, with the SEC. If any of these risks materialize or our assumptions prove incorrect, actual results could differ materially from the results implied by these forward-looking statements. There may be additional risks that Origin Materials presently does not know, or that Origin Materials currently believes are immaterial, that could also cause actual results to differ from those contained in the forward-looking statements. In addition, forward-looking statements reflect Origin Materials’ expectations, plans, or forecasts of future events and views as of the date of this press release. Origin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8620"/>
                <wp:effectExtent l="0" t="0" r="0" b="0"/>
                <wp:wrapNone/>
                <wp:docPr id="13" name="Frame1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Materials anticipates that subsequent events and developments will cause its assessments to change. However, while Origin Materials may elect to update these forward-looking statements at some point in the future, Origin Materials specifically disclaims any obligation to do so. These forward-looking statements should not be relied upon as representing Origin Materials’ assessments of any date subsequent to the date of this press release. Accordingly, undue reliance should not be placed upon the forward-looking statements.</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8620"/>
                <wp:effectExtent l="0" t="0" r="0" b="0"/>
                <wp:wrapNone/>
                <wp:docPr id="14" name="Frame1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ORIGIN MATERIALS,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3042"/>
        <w:gridCol w:w="2160"/>
        <w:gridCol w:w="2167"/>
        <w:gridCol w:w="211"/>
        <w:gridCol w:w="843"/>
        <w:gridCol w:w="109"/>
        <w:gridCol w:w="109"/>
        <w:gridCol w:w="109"/>
        <w:gridCol w:w="109"/>
        <w:gridCol w:w="234"/>
        <w:gridCol w:w="937"/>
        <w:gridCol w:w="175"/>
      </w:tblGrid>
      <w:tr>
        <w:trPr/>
        <w:tc>
          <w:tcPr>
            <w:tcW w:w="304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u w:val="single"/>
              </w:rPr>
            </w:pPr>
            <w:r>
              <w:rPr>
                <w:rFonts w:ascii="Arial;sans-serif" w:hAnsi="Arial;sans-serif"/>
                <w:b w:val="false"/>
                <w:color w:val="000000"/>
                <w:sz w:val="14"/>
                <w:u w:val="single"/>
              </w:rPr>
              <w:t>(In thousands, except share and per share data)</w:t>
            </w:r>
          </w:p>
        </w:tc>
        <w:tc>
          <w:tcPr>
            <w:tcW w:w="116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 2023</w:t>
              <w:b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6"/>
              </w:rPr>
            </w:pPr>
            <w:r>
              <w:rPr>
                <w:rFonts w:ascii="Arial;sans-serif" w:hAnsi="Arial;sans-serif"/>
                <w:b/>
                <w:color w:val="000000"/>
                <w:sz w:val="16"/>
              </w:rPr>
              <w:t>December 31, 2022</w:t>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ASSETS</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107,858 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215,464 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Derivative asset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3,341 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331,499 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220,807 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154,183 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right-of-use asset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5,079 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476,704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493,700</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10,384 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8,414 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liability, current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liabilities, current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Derivative liability</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19,812 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Earnout liability</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42,533 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Canadian Government Research and Development Program liability</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Assumed common stock warrants liability</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30,872 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Notes payable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5,847 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2,249 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liabilities, long-term</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8,297 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116,795 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36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STOCKHOLDERS’ EQUITY</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Preferred stock, $0.0001 par value, 10,000,000 shares authorized; no shares issued and outstanding as of June 30, 2023 and December 31, 2022</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Common stock, $0.0001 par value, 1,000,000,000 shares authorized; 143,498,724 and 143,034,225, issued and outstanding as of June 30, 2023 and December 31, 2022, respectively (including 4,500,000 Sponsor Vesting Shares)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371,072 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 xml:space="preserve">Retained earnings </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21,772 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(15,953)</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376,905 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476,704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493,700</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8620"/>
                <wp:effectExtent l="0" t="0" r="0" b="0"/>
                <wp:wrapNone/>
                <wp:docPr id="15" name="Frame1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ORIGIN MATERIALS,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54"/>
        <w:gridCol w:w="992"/>
        <w:gridCol w:w="996"/>
        <w:gridCol w:w="109"/>
        <w:gridCol w:w="109"/>
        <w:gridCol w:w="109"/>
        <w:gridCol w:w="297"/>
        <w:gridCol w:w="889"/>
        <w:gridCol w:w="113"/>
        <w:gridCol w:w="113"/>
        <w:gridCol w:w="113"/>
        <w:gridCol w:w="113"/>
        <w:gridCol w:w="268"/>
        <w:gridCol w:w="918"/>
        <w:gridCol w:w="113"/>
        <w:gridCol w:w="109"/>
        <w:gridCol w:w="109"/>
        <w:gridCol w:w="109"/>
        <w:gridCol w:w="302"/>
        <w:gridCol w:w="884"/>
        <w:gridCol w:w="110"/>
        <w:gridCol w:w="110"/>
        <w:gridCol w:w="110"/>
        <w:gridCol w:w="110"/>
        <w:gridCol w:w="268"/>
        <w:gridCol w:w="918"/>
        <w:gridCol w:w="160"/>
      </w:tblGrid>
      <w:tr>
        <w:trPr/>
        <w:tc>
          <w:tcPr>
            <w:tcW w:w="165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6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8"/>
              </w:rPr>
            </w:pPr>
            <w:r>
              <w:rPr>
                <w:rFonts w:ascii="Arial;sans-serif" w:hAnsi="Arial;sans-serif"/>
                <w:b/>
                <w:color w:val="000000"/>
                <w:sz w:val="18"/>
              </w:rPr>
              <w:t>2022</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Cost of revenues (exclusive of depreciation and amortization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4,985 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27,381 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(14,278)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(8,673)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(26,553)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(16,228)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3,768 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(loss)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(loss) in fair value of 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18,803 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17,029 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in fair value of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33,188 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48,414 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7,943 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55,604 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29,987 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70,505 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(loss) before income tax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46,931 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54,277 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 xml:space="preserve">Net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(6,464)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46,931 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54,277 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Unrealized gain (loss) on marketable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(9,380)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translation adjustment,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(1,688)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40,433 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44,089 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(loss)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139,265,248 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137,141,655 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139,154,557 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136,985,440 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139,265,248 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142,195,637 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143,039,435 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142,078,752 </w:t>
            </w:r>
          </w:p>
        </w:tc>
        <w:tc>
          <w:tcPr>
            <w:tcW w:w="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8620"/>
                <wp:effectExtent l="0" t="0" r="0" b="0"/>
                <wp:wrapNone/>
                <wp:docPr id="16" name="Frame1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8" w:before="0" w:after="0"/>
        <w:jc w:val="center"/>
        <w:rPr>
          <w:rFonts w:ascii="Arial;sans-serif" w:hAnsi="Arial;sans-serif"/>
          <w:b/>
          <w:color w:val="000000"/>
          <w:sz w:val="20"/>
        </w:rPr>
      </w:pPr>
      <w:r>
        <w:rPr>
          <w:rFonts w:ascii="Arial;sans-serif" w:hAnsi="Arial;sans-serif"/>
          <w:b/>
          <w:color w:val="000000"/>
          <w:sz w:val="20"/>
        </w:rPr>
        <w:t>ORIGIN MATERIALS,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7"/>
        <w:gridCol w:w="2378"/>
        <w:gridCol w:w="2360"/>
        <w:gridCol w:w="232"/>
        <w:gridCol w:w="797"/>
        <w:gridCol w:w="109"/>
        <w:gridCol w:w="109"/>
        <w:gridCol w:w="109"/>
        <w:gridCol w:w="109"/>
        <w:gridCol w:w="232"/>
        <w:gridCol w:w="797"/>
        <w:gridCol w:w="156"/>
      </w:tblGrid>
      <w:tr>
        <w:trPr/>
        <w:tc>
          <w:tcPr>
            <w:tcW w:w="2817"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7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6"/>
              </w:rPr>
            </w:pPr>
            <w:r>
              <w:rPr>
                <w:rFonts w:ascii="Arial;sans-serif" w:hAnsi="Arial;sans-serif"/>
                <w:b/>
                <w:color w:val="000000"/>
                <w:sz w:val="16"/>
              </w:rPr>
              <w:t>2022</w:t>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54,277 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from operating activities: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Amortization on right-of-use asset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Realized loss of marketable securities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Amortization premium of marketable securities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fair value of derivatives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fair value of common stock warrants liability</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(17,029)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fair value of earnout liability</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(48,414)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fair value of incremental acquisition fee accrual</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liabilities, current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liabilities, long-term</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(3,032)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 net of grants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(2,499,506)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(1,655,200)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Sales of marketable securities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2,462,950 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1,647,787 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Maturities of marketable securities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71,168 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Capitalized interest on plant construction</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(used in) provided by investing activities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38,663 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Effects of foreign exchange rate changes on the balance of cash and cash equivalents, and restricted cash held in foreign currencies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(3,480)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(decrease) increase in cash and cash equivalents, and restricted cash</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32,419 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and cash equivalents, and restricted cash, beginning of the period</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47,127 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Cash and cash equivalents, and restricted cash, end of the period</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79,546 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8620"/>
                <wp:effectExtent l="0" t="0" r="0" b="0"/>
                <wp:wrapNone/>
                <wp:docPr id="17" name="Frame1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Arial;sans-serif" w:hAnsi="Arial;sans-serif"/>
          <w:b/>
          <w:color w:val="000000"/>
          <w:sz w:val="24"/>
        </w:rPr>
      </w:pPr>
      <w:r>
        <w:rPr>
          <w:rFonts w:ascii="Arial;sans-serif" w:hAnsi="Arial;sans-serif"/>
          <w:b/>
          <w:color w:val="000000"/>
          <w:sz w:val="24"/>
        </w:rPr>
        <w:t>Origin Materials, Inc.</w:t>
      </w:r>
    </w:p>
    <w:p>
      <w:pPr>
        <w:pStyle w:val="TextBody"/>
        <w:bidi w:val="0"/>
        <w:spacing w:lineRule="auto" w:line="319" w:before="0" w:after="0"/>
        <w:jc w:val="center"/>
        <w:rPr>
          <w:rFonts w:ascii="Arial;sans-serif" w:hAnsi="Arial;sans-serif"/>
          <w:b/>
          <w:color w:val="000000"/>
          <w:sz w:val="24"/>
        </w:rPr>
      </w:pPr>
      <w:r>
        <w:rPr>
          <w:rFonts w:ascii="Arial;sans-serif" w:hAnsi="Arial;sans-serif"/>
          <w:b/>
          <w:color w:val="000000"/>
          <w:sz w:val="24"/>
        </w:rPr>
        <w:t>Reconciliation of GAAP and Non-GAAP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We believe that the presentation of Adjusted Earnings before Interest, Taxes, Depreciation, and Amortization (Adjusted EBITDA) is appropriate to provide additional information to investors about our operating profitability adjusted for certain non-cash items, non-routine items that we do not expect to continue at the same level in the future, as well as other items that are not core to our operations. Further, we believe Adjusted EBITDA provides a meaningful measure of operating profitability because we use it for evaluating our business performance, making budgeting decisions, and comparing our performance against that of other peer companies using similar measures.</w:t>
      </w:r>
    </w:p>
    <w:p>
      <w:pPr>
        <w:pStyle w:val="TextBody"/>
        <w:bidi w:val="0"/>
        <w:spacing w:before="0" w:after="0"/>
        <w:jc w:val="both"/>
        <w:rPr/>
      </w:pPr>
      <w:r>
        <w:rPr/>
      </w:r>
    </w:p>
    <w:p>
      <w:pPr>
        <w:pStyle w:val="TextBody"/>
        <w:bidi w:val="0"/>
        <w:spacing w:lineRule="auto" w:line="376" w:before="0" w:after="0"/>
        <w:jc w:val="both"/>
        <w:rPr>
          <w:rFonts w:ascii="Arial;sans-serif" w:hAnsi="Arial;sans-serif"/>
          <w:b w:val="false"/>
          <w:color w:val="000000"/>
          <w:sz w:val="24"/>
        </w:rPr>
      </w:pPr>
      <w:r>
        <w:rPr>
          <w:rFonts w:ascii="Arial;sans-serif" w:hAnsi="Arial;sans-serif"/>
          <w:b w:val="false"/>
          <w:color w:val="000000"/>
          <w:sz w:val="24"/>
        </w:rPr>
        <w:t xml:space="preserve">We define Adjusted EBITDA as net income or loss adjusted for (i) stock-based compensation expense, (ii) depreciation and amortization, (iii) interest income, (iv) interest expense, (v) change in fair value of derivative, (vi) change in fair value of warrants liability, (vii) change in fair value of earnout liability, and (viii) other (income) expenses, net. </w:t>
      </w:r>
    </w:p>
    <w:p>
      <w:pPr>
        <w:pStyle w:val="TextBody"/>
        <w:bidi w:val="0"/>
        <w:spacing w:before="0" w:after="0"/>
        <w:jc w:val="both"/>
        <w:rPr/>
      </w:pPr>
      <w:r>
        <w:rPr/>
      </w:r>
    </w:p>
    <w:tbl>
      <w:tblPr>
        <w:tblW w:w="9436" w:type="dxa"/>
        <w:jc w:val="left"/>
        <w:tblInd w:w="0" w:type="dxa"/>
        <w:tblLayout w:type="fixed"/>
        <w:tblCellMar>
          <w:top w:w="28" w:type="dxa"/>
          <w:left w:w="28" w:type="dxa"/>
          <w:bottom w:w="28" w:type="dxa"/>
          <w:right w:w="28" w:type="dxa"/>
        </w:tblCellMar>
      </w:tblPr>
      <w:tblGrid>
        <w:gridCol w:w="1284"/>
        <w:gridCol w:w="1133"/>
        <w:gridCol w:w="1137"/>
        <w:gridCol w:w="109"/>
        <w:gridCol w:w="109"/>
        <w:gridCol w:w="109"/>
        <w:gridCol w:w="223"/>
        <w:gridCol w:w="841"/>
        <w:gridCol w:w="115"/>
        <w:gridCol w:w="115"/>
        <w:gridCol w:w="115"/>
        <w:gridCol w:w="115"/>
        <w:gridCol w:w="223"/>
        <w:gridCol w:w="762"/>
        <w:gridCol w:w="115"/>
        <w:gridCol w:w="109"/>
        <w:gridCol w:w="109"/>
        <w:gridCol w:w="109"/>
        <w:gridCol w:w="211"/>
        <w:gridCol w:w="796"/>
        <w:gridCol w:w="109"/>
        <w:gridCol w:w="109"/>
        <w:gridCol w:w="109"/>
        <w:gridCol w:w="109"/>
        <w:gridCol w:w="211"/>
        <w:gridCol w:w="79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in fair value of 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in fair value of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(11,655)</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8620"/>
                <wp:effectExtent l="0" t="0" r="0" b="0"/>
                <wp:wrapNone/>
                <wp:docPr id="18" name="Frame1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4875</Words>
  <Characters>28563</Characters>
  <CharactersWithSpaces>33092</CharactersWithSpaces>
  <Paragraphs>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