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688975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78" w:lineRule="exact"/>
        <w:rPr>
          <w:sz w:val="24"/>
          <w:szCs w:val="24"/>
          <w:color w:val="auto"/>
        </w:rPr>
      </w:pPr>
    </w:p>
    <w:p>
      <w:pPr>
        <w:jc w:val="center"/>
        <w:ind w:right="-6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80"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62"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22"/>
          <w:szCs w:val="22"/>
          <w:color w:val="auto"/>
        </w:rPr>
        <w:t>______________________</w:t>
      </w:r>
    </w:p>
    <w:p>
      <w:pPr>
        <w:spacing w:after="0" w:line="254" w:lineRule="exact"/>
        <w:rPr>
          <w:sz w:val="24"/>
          <w:szCs w:val="24"/>
          <w:color w:val="auto"/>
        </w:rPr>
      </w:pPr>
    </w:p>
    <w:p>
      <w:pPr>
        <w:jc w:val="center"/>
        <w:ind w:right="-63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84"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22"/>
          <w:szCs w:val="22"/>
          <w:color w:val="auto"/>
        </w:rPr>
        <w:t>______________________</w:t>
      </w:r>
    </w:p>
    <w:p>
      <w:pPr>
        <w:spacing w:after="0" w:line="256" w:lineRule="exact"/>
        <w:rPr>
          <w:sz w:val="24"/>
          <w:szCs w:val="24"/>
          <w:color w:val="auto"/>
        </w:rPr>
      </w:pPr>
    </w:p>
    <w:p>
      <w:pPr>
        <w:jc w:val="center"/>
        <w:ind w:right="-63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58" w:lineRule="exact"/>
        <w:rPr>
          <w:sz w:val="24"/>
          <w:szCs w:val="24"/>
          <w:color w:val="auto"/>
        </w:rPr>
      </w:pPr>
    </w:p>
    <w:p>
      <w:pPr>
        <w:jc w:val="center"/>
        <w:ind w:right="-63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44" w:lineRule="exact"/>
        <w:rPr>
          <w:sz w:val="24"/>
          <w:szCs w:val="24"/>
          <w:color w:val="auto"/>
        </w:rPr>
      </w:pPr>
    </w:p>
    <w:p>
      <w:pPr>
        <w:jc w:val="center"/>
        <w:ind w:right="-63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260" w:lineRule="exact"/>
        <w:rPr>
          <w:sz w:val="24"/>
          <w:szCs w:val="24"/>
          <w:color w:val="auto"/>
        </w:rPr>
      </w:pPr>
    </w:p>
    <w:p>
      <w:pPr>
        <w:jc w:val="center"/>
        <w:ind w:right="-63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January 3, 2023</w:t>
      </w:r>
    </w:p>
    <w:p>
      <w:pPr>
        <w:spacing w:after="0" w:line="48"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22"/>
          <w:szCs w:val="22"/>
          <w:color w:val="auto"/>
        </w:rPr>
        <w:t>______________________</w:t>
      </w:r>
    </w:p>
    <w:p>
      <w:pPr>
        <w:spacing w:after="0" w:line="277"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43"/>
          <w:szCs w:val="43"/>
          <w:b w:val="1"/>
          <w:bCs w:val="1"/>
          <w:color w:val="auto"/>
        </w:rPr>
        <w:t>Origin Materials, Inc.</w:t>
      </w:r>
    </w:p>
    <w:p>
      <w:pPr>
        <w:spacing w:after="0" w:line="88" w:lineRule="exact"/>
        <w:rPr>
          <w:sz w:val="24"/>
          <w:szCs w:val="24"/>
          <w:color w:val="auto"/>
        </w:rPr>
      </w:pPr>
    </w:p>
    <w:p>
      <w:pPr>
        <w:jc w:val="center"/>
        <w:ind w:right="-6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58"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22"/>
          <w:szCs w:val="22"/>
          <w:color w:val="auto"/>
        </w:rPr>
        <w:t>______________________</w:t>
      </w:r>
    </w:p>
    <w:p>
      <w:pPr>
        <w:sectPr>
          <w:pgSz w:w="11900" w:h="16838" w:orient="portrait"/>
          <w:cols w:equalWidth="0" w:num="1">
            <w:col w:w="10620"/>
          </w:cols>
          <w:pgMar w:left="320" w:top="1348" w:right="959" w:bottom="1440" w:gutter="0" w:footer="0" w:header="0"/>
        </w:sectPr>
      </w:pPr>
    </w:p>
    <w:p>
      <w:pPr>
        <w:spacing w:after="0" w:line="252"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235" w:lineRule="exact"/>
        <w:rPr>
          <w:sz w:val="24"/>
          <w:szCs w:val="24"/>
          <w:color w:val="auto"/>
        </w:rPr>
      </w:pPr>
    </w:p>
    <w:p>
      <w:pPr>
        <w:jc w:val="center"/>
        <w:ind w:right="2120"/>
        <w:spacing w:after="0"/>
        <w:rPr>
          <w:sz w:val="20"/>
          <w:szCs w:val="20"/>
          <w:color w:val="auto"/>
        </w:rPr>
      </w:pPr>
      <w:r>
        <w:rPr>
          <w:rFonts w:ascii="Arial" w:cs="Arial" w:eastAsia="Arial" w:hAnsi="Arial"/>
          <w:sz w:val="17"/>
          <w:szCs w:val="17"/>
          <w:b w:val="1"/>
          <w:bCs w:val="1"/>
          <w:color w:val="auto"/>
        </w:rPr>
        <w:t>001-39378</w:t>
      </w:r>
    </w:p>
    <w:p>
      <w:pPr>
        <w:spacing w:after="0" w:line="20" w:lineRule="exact"/>
        <w:rPr>
          <w:sz w:val="24"/>
          <w:szCs w:val="24"/>
          <w:color w:val="auto"/>
        </w:rPr>
      </w:pPr>
      <w:r>
        <w:rPr>
          <w:sz w:val="24"/>
          <w:szCs w:val="24"/>
          <w:color w:val="auto"/>
        </w:rPr>
        <w:br w:type="column"/>
      </w:r>
    </w:p>
    <w:p>
      <w:pPr>
        <w:spacing w:after="0" w:line="235"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87-1388928</w:t>
      </w:r>
    </w:p>
    <w:p>
      <w:pPr>
        <w:spacing w:after="0" w:line="136" w:lineRule="exact"/>
        <w:rPr>
          <w:sz w:val="24"/>
          <w:szCs w:val="24"/>
          <w:color w:val="auto"/>
        </w:rPr>
      </w:pPr>
    </w:p>
    <w:p>
      <w:pPr>
        <w:sectPr>
          <w:pgSz w:w="11900" w:h="16838" w:orient="portrait"/>
          <w:cols w:equalWidth="0" w:num="3">
            <w:col w:w="4460" w:space="720"/>
            <w:col w:w="2980" w:space="720"/>
            <w:col w:w="1740"/>
          </w:cols>
          <w:pgMar w:left="320" w:top="1348" w:right="959" w:bottom="1440" w:gutter="0" w:footer="0" w:header="0"/>
          <w:type w:val="continuous"/>
        </w:sectPr>
      </w:pPr>
    </w:p>
    <w:p>
      <w:pPr>
        <w:ind w:left="106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line="42" w:lineRule="exact"/>
        <w:rPr>
          <w:sz w:val="24"/>
          <w:szCs w:val="24"/>
          <w:color w:val="auto"/>
        </w:rPr>
      </w:pPr>
    </w:p>
    <w:p>
      <w:pPr>
        <w:sectPr>
          <w:pgSz w:w="11900" w:h="16838" w:orient="portrait"/>
          <w:cols w:equalWidth="0" w:num="3">
            <w:col w:w="4480" w:space="720"/>
            <w:col w:w="2980" w:space="720"/>
            <w:col w:w="1720"/>
          </w:cols>
          <w:pgMar w:left="320" w:top="1348" w:right="959" w:bottom="1440" w:gutter="0" w:footer="0" w:header="0"/>
          <w:type w:val="continuous"/>
        </w:sectPr>
      </w:pPr>
    </w:p>
    <w:p>
      <w:pPr>
        <w:ind w:left="134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2060"/>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0" w:space="720"/>
            <w:col w:w="2880" w:space="720"/>
            <w:col w:w="1820"/>
          </w:cols>
          <w:pgMar w:left="320" w:top="1348" w:right="959" w:bottom="1440" w:gutter="0" w:footer="0" w:header="0"/>
          <w:type w:val="continuous"/>
        </w:sectPr>
      </w:pPr>
    </w:p>
    <w:p>
      <w:pPr>
        <w:spacing w:after="0" w:line="370"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7"/>
          <w:szCs w:val="17"/>
          <w:b w:val="1"/>
          <w:bCs w:val="1"/>
          <w:color w:val="auto"/>
        </w:rPr>
        <w:t>930 Riverside Parkway, Suite 10</w:t>
      </w:r>
    </w:p>
    <w:p>
      <w:pPr>
        <w:spacing w:after="0" w:line="43"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West Sacramento, CA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95605</w:t>
      </w:r>
    </w:p>
    <w:p>
      <w:pPr>
        <w:spacing w:after="0" w:line="60" w:lineRule="exact"/>
        <w:rPr>
          <w:sz w:val="24"/>
          <w:szCs w:val="24"/>
          <w:color w:val="auto"/>
        </w:rPr>
      </w:pPr>
    </w:p>
    <w:p>
      <w:pPr>
        <w:sectPr>
          <w:pgSz w:w="11900" w:h="16838" w:orient="portrait"/>
          <w:cols w:equalWidth="0" w:num="2">
            <w:col w:w="7480" w:space="720"/>
            <w:col w:w="2420"/>
          </w:cols>
          <w:pgMar w:left="320" w:top="1348" w:right="959" w:bottom="1440" w:gutter="0" w:footer="0" w:header="0"/>
          <w:type w:val="continuous"/>
        </w:sectPr>
      </w:pPr>
    </w:p>
    <w:p>
      <w:pPr>
        <w:ind w:left="16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200" w:lineRule="exact"/>
        <w:rPr>
          <w:sz w:val="24"/>
          <w:szCs w:val="24"/>
          <w:color w:val="auto"/>
        </w:rPr>
      </w:pPr>
    </w:p>
    <w:p>
      <w:pPr>
        <w:sectPr>
          <w:pgSz w:w="11900" w:h="16838" w:orient="portrait"/>
          <w:cols w:equalWidth="0" w:num="2">
            <w:col w:w="7380" w:space="720"/>
            <w:col w:w="2520"/>
          </w:cols>
          <w:pgMar w:left="320" w:top="1348" w:right="959" w:bottom="1440" w:gutter="0" w:footer="0" w:header="0"/>
          <w:type w:val="continuous"/>
        </w:sectPr>
      </w:pPr>
    </w:p>
    <w:p>
      <w:pPr>
        <w:spacing w:after="0" w:line="154"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+1 (916) 231-9329</w:t>
      </w:r>
    </w:p>
    <w:p>
      <w:pPr>
        <w:spacing w:after="0" w:line="266"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47"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147"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22"/>
          <w:szCs w:val="22"/>
          <w:color w:val="auto"/>
        </w:rPr>
        <w:t>______________________</w:t>
      </w:r>
    </w:p>
    <w:p>
      <w:pPr>
        <w:spacing w:after="0" w:line="269" w:lineRule="exact"/>
        <w:rPr>
          <w:sz w:val="24"/>
          <w:szCs w:val="24"/>
          <w:color w:val="auto"/>
        </w:rPr>
      </w:pPr>
    </w:p>
    <w:p>
      <w:pPr>
        <w:spacing w:after="0" w:line="313"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obligations of the registrant under any of the following provisions:</w:t>
      </w:r>
    </w:p>
    <w:p>
      <w:pPr>
        <w:spacing w:after="0" w:line="108"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4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716280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20"/>
          </w:cols>
          <w:pgMar w:left="320" w:top="1348" w:right="95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2"/>
        </w:trPr>
        <w:tc>
          <w:tcPr>
            <w:tcW w:w="3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r>
      <w:tr>
        <w:trPr>
          <w:trHeight w:val="217"/>
        </w:trPr>
        <w:tc>
          <w:tcPr>
            <w:tcW w:w="38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r>
      <w:tr>
        <w:trPr>
          <w:trHeight w:val="37"/>
        </w:trPr>
        <w:tc>
          <w:tcPr>
            <w:tcW w:w="37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5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740" w:type="dxa"/>
            <w:vAlign w:val="bottom"/>
            <w:tcBorders>
              <w:bottom w:val="single" w:sz="8" w:color="auto"/>
            </w:tcBorders>
          </w:tcPr>
          <w:p>
            <w:pPr>
              <w:spacing w:after="0"/>
              <w:rPr>
                <w:sz w:val="3"/>
                <w:szCs w:val="3"/>
                <w:color w:val="auto"/>
              </w:rPr>
            </w:pPr>
          </w:p>
        </w:tc>
      </w:tr>
      <w:tr>
        <w:trPr>
          <w:trHeight w:val="237"/>
        </w:trPr>
        <w:tc>
          <w:tcPr>
            <w:tcW w:w="3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3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ORGN</w:t>
            </w:r>
          </w:p>
        </w:tc>
        <w:tc>
          <w:tcPr>
            <w:tcW w:w="3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Capital Market</w:t>
            </w:r>
          </w:p>
        </w:tc>
      </w:tr>
      <w:tr>
        <w:trPr>
          <w:trHeight w:val="248"/>
        </w:trPr>
        <w:tc>
          <w:tcPr>
            <w:tcW w:w="3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Warrants, each whole warrant exercisable for</w:t>
            </w:r>
          </w:p>
        </w:tc>
        <w:tc>
          <w:tcPr>
            <w:tcW w:w="36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ORGNW</w:t>
            </w:r>
          </w:p>
        </w:tc>
        <w:tc>
          <w:tcPr>
            <w:tcW w:w="3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Capital Market</w:t>
            </w:r>
          </w:p>
        </w:tc>
      </w:tr>
      <w:tr>
        <w:trPr>
          <w:trHeight w:val="216"/>
        </w:trPr>
        <w:tc>
          <w:tcPr>
            <w:tcW w:w="3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one share of Common Stock at an exercise price</w:t>
            </w:r>
          </w:p>
        </w:tc>
        <w:tc>
          <w:tcPr>
            <w:tcW w:w="3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40" w:type="dxa"/>
            <w:vAlign w:val="bottom"/>
          </w:tcPr>
          <w:p>
            <w:pPr>
              <w:spacing w:after="0"/>
              <w:rPr>
                <w:sz w:val="18"/>
                <w:szCs w:val="18"/>
                <w:color w:val="auto"/>
              </w:rPr>
            </w:pPr>
          </w:p>
        </w:tc>
      </w:tr>
      <w:tr>
        <w:trPr>
          <w:trHeight w:val="238"/>
        </w:trPr>
        <w:tc>
          <w:tcPr>
            <w:tcW w:w="3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of $11.50 per share</w:t>
            </w:r>
          </w:p>
        </w:tc>
        <w:tc>
          <w:tcPr>
            <w:tcW w:w="3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740" w:type="dxa"/>
            <w:vAlign w:val="bottom"/>
          </w:tcPr>
          <w:p>
            <w:pPr>
              <w:spacing w:after="0"/>
              <w:rPr>
                <w:sz w:val="20"/>
                <w:szCs w:val="20"/>
                <w:color w:val="auto"/>
              </w:rPr>
            </w:pPr>
          </w:p>
        </w:tc>
      </w:tr>
    </w:tbl>
    <w:p>
      <w:pPr>
        <w:spacing w:after="0" w:line="333" w:lineRule="exact"/>
        <w:rPr>
          <w:sz w:val="20"/>
          <w:szCs w:val="20"/>
          <w:color w:val="auto"/>
        </w:rPr>
      </w:pPr>
    </w:p>
    <w:p>
      <w:pPr>
        <w:ind w:right="520"/>
        <w:spacing w:after="0" w:line="313"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7"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81" w:lineRule="exact"/>
        <w:rPr>
          <w:sz w:val="20"/>
          <w:szCs w:val="20"/>
          <w:color w:val="auto"/>
        </w:rPr>
      </w:pPr>
    </w:p>
    <w:p>
      <w:pPr>
        <w:ind w:right="160"/>
        <w:spacing w:after="0" w:line="256"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133350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3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Origin Materials, Inc. (“</w:t>
      </w:r>
      <w:r>
        <w:rPr>
          <w:rFonts w:ascii="Times New Roman" w:cs="Times New Roman" w:eastAsia="Times New Roman" w:hAnsi="Times New Roman"/>
          <w:sz w:val="18"/>
          <w:szCs w:val="18"/>
          <w:b w:val="1"/>
          <w:bCs w:val="1"/>
          <w:i w:val="1"/>
          <w:iCs w:val="1"/>
          <w:color w:val="auto"/>
        </w:rPr>
        <w:t>Origin</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has set May 2, 2023 as the date for its 2023 annual meeting of stockholders (the “</w:t>
      </w:r>
      <w:r>
        <w:rPr>
          <w:rFonts w:ascii="Times New Roman" w:cs="Times New Roman" w:eastAsia="Times New Roman" w:hAnsi="Times New Roman"/>
          <w:sz w:val="18"/>
          <w:szCs w:val="18"/>
          <w:b w:val="1"/>
          <w:bCs w:val="1"/>
          <w:i w:val="1"/>
          <w:iCs w:val="1"/>
          <w:color w:val="auto"/>
        </w:rPr>
        <w:t>Annual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Meeting</w:t>
      </w:r>
      <w:r>
        <w:rPr>
          <w:rFonts w:ascii="Times New Roman" w:cs="Times New Roman" w:eastAsia="Times New Roman" w:hAnsi="Times New Roman"/>
          <w:sz w:val="18"/>
          <w:szCs w:val="18"/>
          <w:color w:val="auto"/>
        </w:rPr>
        <w:t>”). Origin’s stockholders of record at the close of business on March 3, 2023, will be entitled to notice of the Annual Meeting and to vote upon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matters considered at the Annual Meeting.</w:t>
      </w:r>
    </w:p>
    <w:p>
      <w:pPr>
        <w:spacing w:after="0" w:line="203"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Because the date of the Annual Meeting represents a change of more than 30 days from the anniversary of Origin’s 2022 annual meeting of stockholders, Origin is providing the due date for submission of any qualified shareholder proposal or qualified shareholder nominations. The due date for such shareholder proposal or nominations under the rules of the Securities and Exchange Commission is on or before the close of business on February 1, 2023.</w:t>
      </w:r>
    </w:p>
    <w:p>
      <w:pPr>
        <w:spacing w:after="0" w:line="204"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18"/>
          <w:szCs w:val="18"/>
          <w:color w:val="auto"/>
        </w:rPr>
        <w:t>Stockholder proposals submitted in accordance with Rule 14a-8 of the Securities Exchange Act of 1934, as amended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for inclusion in Origin’s proxy materials for the Annual Meeting must comply with the remaining requirements of Rule 14a-8 of the Exchange Act in order to be considered for inclusion in the proxy materials for the Annual Meeting. Stockholder proposals and nominations submitted pursuant to Origin’s advance notice bylaw provisions must also comply with the advance notice provisions contained in Origin’s Amended and Restated Bylaws and may be omitted if not in compliance with applicable requirements. Stockholders are urged to read the complete text of such advanced notice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3"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spacing w:after="0" w:line="329"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Company has duly caused this report to be signed on its behalf by the undersigned hereunto duly authorized.</w:t>
      </w:r>
    </w:p>
    <w:p>
      <w:pPr>
        <w:spacing w:after="0" w:line="25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4"/>
          <w:szCs w:val="14"/>
          <w:b w:val="1"/>
          <w:bCs w:val="1"/>
          <w:color w:val="auto"/>
        </w:rPr>
        <w:t>RIGIN</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4"/>
          <w:szCs w:val="14"/>
          <w:b w:val="1"/>
          <w:bCs w:val="1"/>
          <w:color w:val="auto"/>
        </w:rPr>
        <w:t>ATERIALS,</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NC.</w:t>
      </w:r>
    </w:p>
    <w:p>
      <w:pPr>
        <w:spacing w:after="0" w:line="1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Dated: January 3, 2023</w:t>
      </w:r>
    </w:p>
    <w:p>
      <w:pPr>
        <w:ind w:left="5620"/>
        <w:spacing w:after="0" w:line="182" w:lineRule="auto"/>
        <w:tabs>
          <w:tab w:leader="none" w:pos="6060" w:val="left"/>
        </w:tabs>
        <w:rPr>
          <w:sz w:val="20"/>
          <w:szCs w:val="20"/>
          <w:color w:val="auto"/>
        </w:rPr>
      </w:pPr>
      <w:r>
        <w:rPr>
          <w:rFonts w:ascii="Times New Roman" w:cs="Times New Roman" w:eastAsia="Times New Roman" w:hAnsi="Times New Roman"/>
          <w:sz w:val="30"/>
          <w:szCs w:val="30"/>
          <w:color w:val="auto"/>
          <w:vertAlign w:val="subscript"/>
        </w:rPr>
        <w:t>By:</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3"/>
          <w:szCs w:val="13"/>
          <w:color w:val="auto"/>
        </w:rPr>
        <w:t>S</w:t>
      </w:r>
      <w:r>
        <w:rPr>
          <w:rFonts w:ascii="Times New Roman" w:cs="Times New Roman" w:eastAsia="Times New Roman" w:hAnsi="Times New Roman"/>
          <w:sz w:val="16"/>
          <w:szCs w:val="16"/>
          <w:color w:val="auto"/>
        </w:rPr>
        <w:t>/ N</w:t>
      </w:r>
      <w:r>
        <w:rPr>
          <w:rFonts w:ascii="Times New Roman" w:cs="Times New Roman" w:eastAsia="Times New Roman" w:hAnsi="Times New Roman"/>
          <w:sz w:val="13"/>
          <w:szCs w:val="13"/>
          <w:color w:val="auto"/>
        </w:rPr>
        <w:t>ATE</w:t>
      </w:r>
      <w:r>
        <w:rPr>
          <w:rFonts w:ascii="Times New Roman" w:cs="Times New Roman" w:eastAsia="Times New Roman" w:hAnsi="Times New Roman"/>
          <w:sz w:val="16"/>
          <w:szCs w:val="16"/>
          <w:color w:val="auto"/>
        </w:rPr>
        <w:t xml:space="preserve"> W</w:t>
      </w:r>
      <w:r>
        <w:rPr>
          <w:rFonts w:ascii="Times New Roman" w:cs="Times New Roman" w:eastAsia="Times New Roman" w:hAnsi="Times New Roman"/>
          <w:sz w:val="13"/>
          <w:szCs w:val="13"/>
          <w:color w:val="auto"/>
        </w:rPr>
        <w:t>HALEY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142875</wp:posOffset>
            </wp:positionV>
            <wp:extent cx="32918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2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Nate Whaley</w:t>
      </w:r>
    </w:p>
    <w:p>
      <w:pPr>
        <w:spacing w:after="0" w:line="6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1220"/>
      </w:cols>
      <w:pgMar w:left="320" w:top="1022"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2023-01-03T16:30:44Z</dcterms:created>
  <dcterms:modified xsi:type="dcterms:W3CDTF">2023-01-03T16:30:44Z</dcterms:modified>
</cp:coreProperties>
</file>