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60" w:right="260" w:hanging="434"/>
        <w:spacing w:after="0" w:line="261" w:lineRule="auto"/>
        <w:tabs>
          <w:tab w:leader="none" w:pos="4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60" w:right="260" w:hanging="434"/>
        <w:spacing w:after="0" w:line="261" w:lineRule="auto"/>
        <w:tabs>
          <w:tab w:leader="none" w:pos="4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68"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001-39378</w:t>
      </w:r>
    </w:p>
    <w:p>
      <w:pPr>
        <w:spacing w:after="0" w:line="12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ORIGIN MATERIALS,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4900" w:type="dxa"/>
            <w:vAlign w:val="bottom"/>
          </w:tcPr>
          <w:p>
            <w:pPr>
              <w:jc w:val="right"/>
              <w:ind w:right="2119"/>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78"/>
        </w:trPr>
        <w:tc>
          <w:tcPr>
            <w:tcW w:w="2220" w:type="dxa"/>
            <w:vAlign w:val="bottom"/>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left="3679"/>
              <w:spacing w:after="0"/>
              <w:rPr>
                <w:sz w:val="20"/>
                <w:szCs w:val="20"/>
                <w:color w:val="auto"/>
              </w:rPr>
            </w:pPr>
            <w:r>
              <w:rPr>
                <w:rFonts w:ascii="Times New Roman" w:cs="Times New Roman" w:eastAsia="Times New Roman" w:hAnsi="Times New Roman"/>
                <w:sz w:val="18"/>
                <w:szCs w:val="18"/>
                <w:b w:val="1"/>
                <w:bCs w:val="1"/>
                <w:color w:val="auto"/>
                <w:w w:val="98"/>
              </w:rPr>
              <w:t>87-1388928</w:t>
            </w:r>
          </w:p>
        </w:tc>
      </w:tr>
      <w:tr>
        <w:trPr>
          <w:trHeight w:val="178"/>
        </w:trPr>
        <w:tc>
          <w:tcPr>
            <w:tcW w:w="222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900" w:type="dxa"/>
            <w:vAlign w:val="bottom"/>
          </w:tcPr>
          <w:p>
            <w:pPr>
              <w:jc w:val="center"/>
              <w:ind w:left="36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2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900" w:type="dxa"/>
            <w:vAlign w:val="bottom"/>
          </w:tcPr>
          <w:p>
            <w:pPr>
              <w:jc w:val="center"/>
              <w:ind w:left="367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ectPr>
          <w:pgSz w:w="11900" w:h="16838" w:orient="portrait"/>
          <w:cols w:equalWidth="0" w:num="1">
            <w:col w:w="11220"/>
          </w:cols>
          <w:pgMar w:left="320" w:top="1240" w:right="359" w:bottom="61" w:gutter="0" w:footer="0" w:header="0"/>
        </w:sectPr>
      </w:pPr>
    </w:p>
    <w:p>
      <w:pPr>
        <w:spacing w:after="0" w:line="4" w:lineRule="exact"/>
        <w:rPr>
          <w:sz w:val="24"/>
          <w:szCs w:val="24"/>
          <w:color w:val="auto"/>
        </w:rPr>
      </w:pPr>
    </w:p>
    <w:p>
      <w:pPr>
        <w:jc w:val="center"/>
        <w:ind w:right="2180"/>
        <w:spacing w:after="0"/>
        <w:rPr>
          <w:sz w:val="20"/>
          <w:szCs w:val="20"/>
          <w:color w:val="auto"/>
        </w:rPr>
      </w:pPr>
      <w:r>
        <w:rPr>
          <w:rFonts w:ascii="Arial" w:cs="Arial" w:eastAsia="Arial" w:hAnsi="Arial"/>
          <w:sz w:val="18"/>
          <w:szCs w:val="18"/>
          <w:color w:val="auto"/>
        </w:rPr>
        <w:t>930 Riverside Parkway</w:t>
      </w: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 xml:space="preserve"> Suite 10</w:t>
      </w:r>
    </w:p>
    <w:p>
      <w:pPr>
        <w:spacing w:after="0" w:line="16" w:lineRule="exact"/>
        <w:rPr>
          <w:sz w:val="24"/>
          <w:szCs w:val="24"/>
          <w:color w:val="auto"/>
        </w:rPr>
      </w:pPr>
    </w:p>
    <w:p>
      <w:pPr>
        <w:jc w:val="center"/>
        <w:ind w:right="2180"/>
        <w:spacing w:after="0"/>
        <w:rPr>
          <w:sz w:val="20"/>
          <w:szCs w:val="20"/>
          <w:color w:val="auto"/>
        </w:rPr>
      </w:pPr>
      <w:r>
        <w:rPr>
          <w:rFonts w:ascii="Arial" w:cs="Arial" w:eastAsia="Arial" w:hAnsi="Arial"/>
          <w:sz w:val="18"/>
          <w:szCs w:val="18"/>
          <w:color w:val="auto"/>
        </w:rPr>
        <w:t>West Sacramento, CA</w:t>
      </w:r>
    </w:p>
    <w:p>
      <w:pPr>
        <w:spacing w:after="0" w:line="5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19"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(916) 231-9329</w:t>
      </w:r>
    </w:p>
    <w:p>
      <w:pPr>
        <w:spacing w:after="0" w:line="2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left="34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95605</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165" w:lineRule="exact"/>
        <w:rPr>
          <w:sz w:val="24"/>
          <w:szCs w:val="24"/>
          <w:color w:val="auto"/>
        </w:rPr>
      </w:pPr>
    </w:p>
    <w:p>
      <w:pPr>
        <w:sectPr>
          <w:pgSz w:w="11900" w:h="16838" w:orient="portrait"/>
          <w:cols w:equalWidth="0" w:num="2">
            <w:col w:w="7820" w:space="280"/>
            <w:col w:w="3120"/>
          </w:cols>
          <w:pgMar w:left="320" w:top="1240" w:right="359" w:bottom="61" w:gutter="0" w:footer="0" w:header="0"/>
          <w:type w:val="continuous"/>
        </w:sectPr>
      </w:pP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6"/>
        </w:trPr>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3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ORGN</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56"/>
        </w:trPr>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ORGNW</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306" w:lineRule="exact"/>
        <w:rPr>
          <w:sz w:val="24"/>
          <w:szCs w:val="24"/>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240" w:right="359" w:bottom="61"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rPr>
                <w:sz w:val="20"/>
                <w:szCs w:val="20"/>
                <w:color w:val="auto"/>
              </w:rPr>
            </w:pPr>
            <w:r>
              <w:rPr>
                <w:rFonts w:ascii="Arial" w:cs="Arial" w:eastAsia="Arial" w:hAnsi="Arial"/>
                <w:sz w:val="18"/>
                <w:szCs w:val="18"/>
                <w:color w:val="auto"/>
              </w:rPr>
              <w:t>o</w:t>
            </w:r>
          </w:p>
        </w:tc>
      </w:tr>
      <w:tr>
        <w:trPr>
          <w:trHeight w:val="31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0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6" w:lineRule="exact"/>
        <w:rPr>
          <w:sz w:val="20"/>
          <w:szCs w:val="20"/>
          <w:color w:val="auto"/>
        </w:rPr>
      </w:pPr>
    </w:p>
    <w:p>
      <w:pPr>
        <w:ind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$0.0001 per share outstanding was 142,703,935, as of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7"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37"/>
        </w:trPr>
        <w:tc>
          <w:tcPr>
            <w:tcW w:w="97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9780" w:type="dxa"/>
            <w:vAlign w:val="bottom"/>
            <w:gridSpan w:val="23"/>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60" w:type="dxa"/>
            <w:vAlign w:val="bottom"/>
            <w:tcBorders>
              <w:top w:val="single" w:sz="8" w:color="0000FF"/>
            </w:tcBorders>
            <w:gridSpan w:val="3"/>
          </w:tcPr>
          <w:p>
            <w:pPr>
              <w:spacing w:after="0"/>
              <w:rPr>
                <w:sz w:val="20"/>
                <w:szCs w:val="20"/>
                <w:color w:val="auto"/>
              </w:rPr>
            </w:pPr>
          </w:p>
        </w:tc>
        <w:tc>
          <w:tcPr>
            <w:tcW w:w="6500" w:type="dxa"/>
            <w:vAlign w:val="bottom"/>
            <w:gridSpan w:val="10"/>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 (unaudited)</w:t>
            </w:r>
          </w:p>
        </w:tc>
        <w:tc>
          <w:tcPr>
            <w:tcW w:w="1360" w:type="dxa"/>
            <w:vAlign w:val="bottom"/>
            <w:gridSpan w:val="2"/>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and Accumulated Other Comprehensive Income (Loss)</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2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(unaudited)</w:t>
            </w:r>
          </w:p>
        </w:tc>
        <w:tc>
          <w:tcPr>
            <w:tcW w:w="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00" w:type="dxa"/>
            <w:vAlign w:val="bottom"/>
            <w:gridSpan w:val="3"/>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100" w:type="dxa"/>
            <w:vAlign w:val="bottom"/>
            <w:gridSpan w:val="6"/>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7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6"/>
        </w:trPr>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6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00" w:type="dxa"/>
            <w:vAlign w:val="bottom"/>
            <w:gridSpan w:val="12"/>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0"/>
                <w:szCs w:val="20"/>
                <w:color w:val="auto"/>
              </w:rPr>
            </w:pPr>
          </w:p>
        </w:tc>
        <w:tc>
          <w:tcPr>
            <w:tcW w:w="7140" w:type="dxa"/>
            <w:vAlign w:val="bottom"/>
            <w:gridSpan w:val="14"/>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20"/>
                <w:szCs w:val="20"/>
                <w:color w:val="auto"/>
              </w:rPr>
            </w:pPr>
          </w:p>
        </w:tc>
        <w:tc>
          <w:tcPr>
            <w:tcW w:w="4120" w:type="dxa"/>
            <w:vAlign w:val="bottom"/>
            <w:gridSpan w:val="7"/>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700" w:type="dxa"/>
            <w:vAlign w:val="bottom"/>
            <w:gridSpan w:val="11"/>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0"/>
                <w:szCs w:val="20"/>
                <w:color w:val="auto"/>
              </w:rPr>
            </w:pPr>
          </w:p>
        </w:tc>
        <w:tc>
          <w:tcPr>
            <w:tcW w:w="7160" w:type="dxa"/>
            <w:vAlign w:val="bottom"/>
            <w:gridSpan w:val="15"/>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053"/>
        </w:trPr>
        <w:tc>
          <w:tcPr>
            <w:tcW w:w="20" w:type="dxa"/>
            <w:vAlign w:val="bottom"/>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0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12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5"/>
                <w:szCs w:val="15"/>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2700" w:type="dxa"/>
            <w:vAlign w:val="bottom"/>
            <w:tcBorders>
              <w:top w:val="single" w:sz="8" w:color="auto"/>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46,637</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397,458</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Derivative asset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50"/>
        </w:trPr>
        <w:tc>
          <w:tcPr>
            <w:tcW w:w="20" w:type="dxa"/>
            <w:vAlign w:val="bottom"/>
            <w:tcBorders>
              <w:bottom w:val="single" w:sz="8" w:color="CCEEFF"/>
            </w:tcBorders>
          </w:tcPr>
          <w:p>
            <w:pPr>
              <w:spacing w:after="0"/>
              <w:rPr>
                <w:sz w:val="21"/>
                <w:szCs w:val="21"/>
                <w:color w:val="auto"/>
              </w:rPr>
            </w:pPr>
          </w:p>
        </w:tc>
        <w:tc>
          <w:tcPr>
            <w:tcW w:w="816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r>
      <w:tr>
        <w:trPr>
          <w:trHeight w:val="256"/>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451,173</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57,185</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4"/>
        </w:trPr>
        <w:tc>
          <w:tcPr>
            <w:tcW w:w="20" w:type="dxa"/>
            <w:vAlign w:val="bottom"/>
          </w:tcPr>
          <w:p>
            <w:pPr>
              <w:spacing w:after="0"/>
              <w:rPr>
                <w:sz w:val="21"/>
                <w:szCs w:val="21"/>
                <w:color w:val="auto"/>
              </w:rPr>
            </w:pPr>
          </w:p>
        </w:tc>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492,472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510,417</w:t>
            </w:r>
          </w:p>
        </w:tc>
      </w:tr>
      <w:tr>
        <w:trPr>
          <w:trHeight w:val="53"/>
        </w:trPr>
        <w:tc>
          <w:tcPr>
            <w:tcW w:w="2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0"/>
        </w:trPr>
        <w:tc>
          <w:tcPr>
            <w:tcW w:w="81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Derivative liability</w:t>
            </w:r>
          </w:p>
        </w:tc>
        <w:tc>
          <w:tcPr>
            <w:tcW w:w="1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8160" w:type="dxa"/>
            <w:vAlign w:val="bottom"/>
            <w:tcBorders>
              <w:top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34"/>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127,757</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Canadian Government Research and Development Program liability</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Assumed common stock warrants liability</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52,860</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Stockholder note</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Related party other liabilities, long-term</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liabilities, long-term</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89"/>
        </w:trPr>
        <w:tc>
          <w:tcPr>
            <w:tcW w:w="20" w:type="dxa"/>
            <w:vAlign w:val="bottom"/>
            <w:tcBorders>
              <w:bottom w:val="single" w:sz="8" w:color="CCEEFF"/>
            </w:tcBorders>
          </w:tcPr>
          <w:p>
            <w:pPr>
              <w:spacing w:after="0"/>
              <w:rPr>
                <w:sz w:val="24"/>
                <w:szCs w:val="24"/>
                <w:color w:val="auto"/>
              </w:rPr>
            </w:pPr>
          </w:p>
        </w:tc>
        <w:tc>
          <w:tcPr>
            <w:tcW w:w="8160" w:type="dxa"/>
            <w:vAlign w:val="bottom"/>
            <w:tcBorders>
              <w:bottom w:val="single" w:sz="8" w:color="CCEEFF"/>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140,442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206,907</w:t>
            </w:r>
          </w:p>
        </w:tc>
      </w:tr>
      <w:tr>
        <w:trPr>
          <w:trHeight w:val="250"/>
        </w:trPr>
        <w:tc>
          <w:tcPr>
            <w:tcW w:w="20" w:type="dxa"/>
            <w:vAlign w:val="bottom"/>
            <w:tcBorders>
              <w:top w:val="single" w:sz="8" w:color="CCEEFF"/>
            </w:tcBorders>
          </w:tcPr>
          <w:p>
            <w:pPr>
              <w:spacing w:after="0"/>
              <w:rPr>
                <w:sz w:val="21"/>
                <w:szCs w:val="21"/>
                <w:color w:val="auto"/>
              </w:rPr>
            </w:pPr>
          </w:p>
        </w:tc>
        <w:tc>
          <w:tcPr>
            <w:tcW w:w="816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Commitments and contingencies (See Note 19)</w:t>
            </w:r>
          </w:p>
        </w:tc>
        <w:tc>
          <w:tcPr>
            <w:tcW w:w="12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r>
      <w:tr>
        <w:trPr>
          <w:trHeight w:val="61"/>
        </w:trPr>
        <w:tc>
          <w:tcPr>
            <w:tcW w:w="20" w:type="dxa"/>
            <w:vAlign w:val="bottom"/>
            <w:shd w:val="clear" w:color="auto" w:fill="CCEEFF"/>
          </w:tcPr>
          <w:p>
            <w:pPr>
              <w:spacing w:after="0"/>
              <w:rPr>
                <w:sz w:val="5"/>
                <w:szCs w:val="5"/>
                <w:color w:val="auto"/>
              </w:rPr>
            </w:pPr>
          </w:p>
        </w:tc>
        <w:tc>
          <w:tcPr>
            <w:tcW w:w="2700" w:type="dxa"/>
            <w:vAlign w:val="bottom"/>
            <w:shd w:val="clear" w:color="auto" w:fill="CCEEFF"/>
          </w:tcPr>
          <w:p>
            <w:pPr>
              <w:spacing w:after="0"/>
              <w:rPr>
                <w:sz w:val="5"/>
                <w:szCs w:val="5"/>
                <w:color w:val="auto"/>
              </w:rPr>
            </w:pPr>
          </w:p>
        </w:tc>
        <w:tc>
          <w:tcPr>
            <w:tcW w:w="5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50"/>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8"/>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 as of</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20" w:type="dxa"/>
            <w:vAlign w:val="bottom"/>
            <w:shd w:val="clear" w:color="auto" w:fill="CCEEFF"/>
          </w:tcPr>
          <w:p>
            <w:pPr>
              <w:spacing w:after="0"/>
              <w:rPr>
                <w:sz w:val="21"/>
                <w:szCs w:val="21"/>
                <w:color w:val="auto"/>
              </w:rPr>
            </w:pPr>
          </w:p>
        </w:tc>
        <w:tc>
          <w:tcPr>
            <w:tcW w:w="8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 142,703,935 and 141,301,569, issued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60" w:type="dxa"/>
            <w:vAlign w:val="bottom"/>
            <w:gridSpan w:val="2"/>
          </w:tcPr>
          <w:p>
            <w:pPr>
              <w:ind w:left="500"/>
              <w:spacing w:after="0" w:line="202" w:lineRule="exact"/>
              <w:rPr>
                <w:sz w:val="20"/>
                <w:szCs w:val="20"/>
                <w:color w:val="auto"/>
              </w:rPr>
            </w:pPr>
            <w:r>
              <w:rPr>
                <w:rFonts w:ascii="Times New Roman" w:cs="Times New Roman" w:eastAsia="Times New Roman" w:hAnsi="Times New Roman"/>
                <w:sz w:val="18"/>
                <w:szCs w:val="18"/>
                <w:color w:val="auto"/>
              </w:rPr>
              <w:t>and outstanding as of September 30, 2022 and December 31, 2021, respectively (including 4,500,000</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8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Sponsor Vesting Shares)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361,542</w:t>
            </w:r>
          </w:p>
        </w:tc>
      </w:tr>
      <w:tr>
        <w:trPr>
          <w:trHeight w:val="250"/>
        </w:trPr>
        <w:tc>
          <w:tcPr>
            <w:tcW w:w="20" w:type="dxa"/>
            <w:vAlign w:val="bottom"/>
          </w:tcPr>
          <w:p>
            <w:pPr>
              <w:spacing w:after="0"/>
              <w:rPr>
                <w:sz w:val="21"/>
                <w:szCs w:val="21"/>
                <w:color w:val="auto"/>
              </w:rPr>
            </w:pPr>
          </w:p>
        </w:tc>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(56,797)</w:t>
            </w:r>
          </w:p>
        </w:tc>
      </w:tr>
      <w:tr>
        <w:trPr>
          <w:trHeight w:val="263"/>
        </w:trPr>
        <w:tc>
          <w:tcPr>
            <w:tcW w:w="20" w:type="dxa"/>
            <w:vAlign w:val="bottom"/>
            <w:shd w:val="clear" w:color="auto" w:fill="CCEEFF"/>
          </w:tcPr>
          <w:p>
            <w:pPr>
              <w:spacing w:after="0"/>
              <w:rPr>
                <w:sz w:val="22"/>
                <w:szCs w:val="22"/>
                <w:color w:val="auto"/>
              </w:rPr>
            </w:pPr>
          </w:p>
        </w:tc>
        <w:tc>
          <w:tcPr>
            <w:tcW w:w="8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43"/>
        </w:trPr>
        <w:tc>
          <w:tcPr>
            <w:tcW w:w="20" w:type="dxa"/>
            <w:vAlign w:val="bottom"/>
            <w:tcBorders>
              <w:bottom w:val="single" w:sz="8" w:color="CCEEFF"/>
            </w:tcBorders>
          </w:tcPr>
          <w:p>
            <w:pPr>
              <w:spacing w:after="0"/>
              <w:rPr>
                <w:sz w:val="21"/>
                <w:szCs w:val="21"/>
                <w:color w:val="auto"/>
              </w:rPr>
            </w:pPr>
          </w:p>
        </w:tc>
        <w:tc>
          <w:tcPr>
            <w:tcW w:w="816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303,510</w:t>
            </w:r>
          </w:p>
        </w:tc>
      </w:tr>
      <w:tr>
        <w:trPr>
          <w:trHeight w:val="281"/>
        </w:trPr>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492,472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510,417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700" w:type="dxa"/>
            <w:vAlign w:val="bottom"/>
            <w:tcBorders>
              <w:top w:val="single" w:sz="8" w:color="auto"/>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8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 and loss from operations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0" w:type="dxa"/>
            <w:vAlign w:val="bottom"/>
          </w:tcPr>
          <w:p>
            <w:pPr>
              <w:spacing w:after="0"/>
              <w:rPr>
                <w:sz w:val="1"/>
                <w:szCs w:val="1"/>
                <w:color w:val="auto"/>
              </w:rPr>
            </w:pPr>
          </w:p>
        </w:tc>
      </w:tr>
      <w:tr>
        <w:trPr>
          <w:trHeight w:val="30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(63,561)</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(88,550)</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(56,031)</w:t>
            </w:r>
          </w:p>
        </w:tc>
        <w:tc>
          <w:tcPr>
            <w:tcW w:w="0" w:type="dxa"/>
            <w:vAlign w:val="bottom"/>
          </w:tcPr>
          <w:p>
            <w:pPr>
              <w:spacing w:after="0"/>
              <w:rPr>
                <w:sz w:val="1"/>
                <w:szCs w:val="1"/>
                <w:color w:val="auto"/>
              </w:rPr>
            </w:pPr>
          </w:p>
        </w:tc>
      </w:tr>
      <w:tr>
        <w:trPr>
          <w:trHeight w:val="24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62,576</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8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43,732</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0" w:type="dxa"/>
            <w:vAlign w:val="bottom"/>
          </w:tcPr>
          <w:p>
            <w:pPr>
              <w:spacing w:after="0"/>
              <w:rPr>
                <w:sz w:val="1"/>
                <w:szCs w:val="1"/>
                <w:color w:val="auto"/>
              </w:rPr>
            </w:pPr>
          </w:p>
        </w:tc>
      </w:tr>
      <w:tr>
        <w:trPr>
          <w:trHeight w:val="275"/>
        </w:trPr>
        <w:tc>
          <w:tcPr>
            <w:tcW w:w="5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gridSpan w:val="3"/>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138,061,829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136,749,956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137,348,180</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89,244,640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gridSpan w:val="3"/>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142,197,014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141,239,965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142,134,560</w:t>
            </w:r>
          </w:p>
        </w:tc>
        <w:tc>
          <w:tcPr>
            <w:tcW w:w="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94,029,056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AND ACCUMULATED OTHER COMPREHENSIVE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4"/>
            <w:vMerge w:val="restart"/>
          </w:tcPr>
          <w:p>
            <w:pPr>
              <w:jc w:val="right"/>
              <w:ind w:right="474"/>
              <w:spacing w:after="0"/>
              <w:rPr>
                <w:sz w:val="20"/>
                <w:szCs w:val="20"/>
                <w:color w:val="auto"/>
              </w:rPr>
            </w:pPr>
            <w:r>
              <w:rPr>
                <w:rFonts w:ascii="Times New Roman" w:cs="Times New Roman" w:eastAsia="Times New Roman" w:hAnsi="Times New Roman"/>
                <w:sz w:val="13"/>
                <w:szCs w:val="13"/>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color w:val="auto"/>
                <w:w w:val="97"/>
              </w:rPr>
              <w:t>Additional</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Comprehensive</w:t>
            </w:r>
          </w:p>
        </w:tc>
        <w:tc>
          <w:tcPr>
            <w:tcW w:w="180" w:type="dxa"/>
            <w:vAlign w:val="bottom"/>
          </w:tcPr>
          <w:p>
            <w:pPr>
              <w:spacing w:after="0"/>
              <w:rPr>
                <w:sz w:val="12"/>
                <w:szCs w:val="12"/>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4"/>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vMerge w:val="restart"/>
          </w:tcPr>
          <w:p>
            <w:pPr>
              <w:jc w:val="center"/>
              <w:ind w:right="300"/>
              <w:spacing w:after="0" w:line="120" w:lineRule="exact"/>
              <w:rPr>
                <w:sz w:val="20"/>
                <w:szCs w:val="20"/>
                <w:color w:val="auto"/>
              </w:rPr>
            </w:pPr>
            <w:r>
              <w:rPr>
                <w:rFonts w:ascii="Times New Roman" w:cs="Times New Roman" w:eastAsia="Times New Roman" w:hAnsi="Times New Roman"/>
                <w:sz w:val="13"/>
                <w:szCs w:val="13"/>
                <w:color w:val="auto"/>
                <w:w w:val="95"/>
              </w:rPr>
              <w:t>Paid-in</w:t>
            </w:r>
          </w:p>
        </w:tc>
        <w:tc>
          <w:tcPr>
            <w:tcW w:w="160" w:type="dxa"/>
            <w:vAlign w:val="bottom"/>
          </w:tcPr>
          <w:p>
            <w:pPr>
              <w:spacing w:after="0"/>
              <w:rPr>
                <w:sz w:val="8"/>
                <w:szCs w:val="8"/>
                <w:color w:val="auto"/>
              </w:rPr>
            </w:pPr>
          </w:p>
        </w:tc>
        <w:tc>
          <w:tcPr>
            <w:tcW w:w="1140" w:type="dxa"/>
            <w:vAlign w:val="bottom"/>
            <w:gridSpan w:val="4"/>
            <w:vMerge w:val="restart"/>
          </w:tcPr>
          <w:p>
            <w:pPr>
              <w:jc w:val="center"/>
              <w:ind w:right="260"/>
              <w:spacing w:after="0" w:line="120" w:lineRule="exact"/>
              <w:rPr>
                <w:sz w:val="20"/>
                <w:szCs w:val="20"/>
                <w:color w:val="auto"/>
              </w:rPr>
            </w:pPr>
            <w:r>
              <w:rPr>
                <w:rFonts w:ascii="Times New Roman" w:cs="Times New Roman" w:eastAsia="Times New Roman" w:hAnsi="Times New Roman"/>
                <w:sz w:val="13"/>
                <w:szCs w:val="13"/>
                <w:color w:val="auto"/>
                <w:w w:val="98"/>
              </w:rPr>
              <w:t>Accumulated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20"/>
              <w:spacing w:after="0" w:line="120" w:lineRule="exact"/>
              <w:rPr>
                <w:sz w:val="20"/>
                <w:szCs w:val="20"/>
                <w:color w:val="auto"/>
              </w:rPr>
            </w:pPr>
            <w:r>
              <w:rPr>
                <w:rFonts w:ascii="Times New Roman" w:cs="Times New Roman" w:eastAsia="Times New Roman" w:hAnsi="Times New Roman"/>
                <w:sz w:val="13"/>
                <w:szCs w:val="13"/>
                <w:color w:val="auto"/>
                <w:w w:val="97"/>
              </w:rPr>
              <w:t>Income</w:t>
            </w:r>
          </w:p>
        </w:tc>
        <w:tc>
          <w:tcPr>
            <w:tcW w:w="180" w:type="dxa"/>
            <w:vAlign w:val="bottom"/>
          </w:tcPr>
          <w:p>
            <w:pPr>
              <w:spacing w:after="0"/>
              <w:rPr>
                <w:sz w:val="8"/>
                <w:szCs w:val="8"/>
                <w:color w:val="auto"/>
              </w:rPr>
            </w:pPr>
          </w:p>
        </w:tc>
        <w:tc>
          <w:tcPr>
            <w:tcW w:w="1020" w:type="dxa"/>
            <w:vAlign w:val="bottom"/>
            <w:vMerge w:val="restart"/>
          </w:tcPr>
          <w:p>
            <w:pPr>
              <w:jc w:val="center"/>
              <w:ind w:right="94"/>
              <w:spacing w:after="0" w:line="120" w:lineRule="exact"/>
              <w:rPr>
                <w:sz w:val="20"/>
                <w:szCs w:val="20"/>
                <w:color w:val="auto"/>
              </w:rPr>
            </w:pPr>
            <w:r>
              <w:rPr>
                <w:rFonts w:ascii="Times New Roman" w:cs="Times New Roman" w:eastAsia="Times New Roman" w:hAnsi="Times New Roman"/>
                <w:sz w:val="13"/>
                <w:szCs w:val="13"/>
                <w:color w:val="auto"/>
                <w:w w:val="96"/>
              </w:rPr>
              <w:t>Stockholders’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Three Months Ended September 30, 2021</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Shares</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Amount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color w:val="auto"/>
                <w:w w:val="95"/>
              </w:rPr>
              <w:t>Capital</w:t>
            </w:r>
          </w:p>
        </w:tc>
        <w:tc>
          <w:tcPr>
            <w:tcW w:w="160" w:type="dxa"/>
            <w:vAlign w:val="bottom"/>
          </w:tcPr>
          <w:p>
            <w:pPr>
              <w:spacing w:after="0"/>
              <w:rPr>
                <w:sz w:val="16"/>
                <w:szCs w:val="16"/>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color w:val="auto"/>
                <w:w w:val="99"/>
              </w:rPr>
              <w:t>Deficit</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(loss)</w:t>
            </w:r>
          </w:p>
        </w:tc>
        <w:tc>
          <w:tcPr>
            <w:tcW w:w="180" w:type="dxa"/>
            <w:vAlign w:val="bottom"/>
          </w:tcPr>
          <w:p>
            <w:pPr>
              <w:spacing w:after="0"/>
              <w:rPr>
                <w:sz w:val="16"/>
                <w:szCs w:val="16"/>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7"/>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136,748,470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359,928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(89,928)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Common stock issued upon 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7"/>
                <w:szCs w:val="17"/>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136,754,685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360,566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(62,035)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298,952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4"/>
            <w:vMerge w:val="restart"/>
          </w:tcPr>
          <w:p>
            <w:pPr>
              <w:jc w:val="right"/>
              <w:ind w:right="494"/>
              <w:spacing w:after="0"/>
              <w:rPr>
                <w:sz w:val="20"/>
                <w:szCs w:val="20"/>
                <w:color w:val="auto"/>
              </w:rPr>
            </w:pPr>
            <w:r>
              <w:rPr>
                <w:rFonts w:ascii="Times New Roman" w:cs="Times New Roman" w:eastAsia="Times New Roman" w:hAnsi="Times New Roman"/>
                <w:sz w:val="13"/>
                <w:szCs w:val="13"/>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color w:val="auto"/>
                <w:w w:val="97"/>
              </w:rPr>
              <w:t>Additional</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12"/>
                <w:szCs w:val="12"/>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4"/>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vMerge w:val="restart"/>
          </w:tcPr>
          <w:p>
            <w:pPr>
              <w:jc w:val="center"/>
              <w:ind w:right="320"/>
              <w:spacing w:after="0" w:line="120" w:lineRule="exact"/>
              <w:rPr>
                <w:sz w:val="20"/>
                <w:szCs w:val="20"/>
                <w:color w:val="auto"/>
              </w:rPr>
            </w:pPr>
            <w:r>
              <w:rPr>
                <w:rFonts w:ascii="Times New Roman" w:cs="Times New Roman" w:eastAsia="Times New Roman" w:hAnsi="Times New Roman"/>
                <w:sz w:val="13"/>
                <w:szCs w:val="13"/>
                <w:color w:val="auto"/>
              </w:rPr>
              <w:t>Paid-in</w:t>
            </w:r>
          </w:p>
        </w:tc>
        <w:tc>
          <w:tcPr>
            <w:tcW w:w="160" w:type="dxa"/>
            <w:vAlign w:val="bottom"/>
          </w:tcPr>
          <w:p>
            <w:pPr>
              <w:spacing w:after="0"/>
              <w:rPr>
                <w:sz w:val="8"/>
                <w:szCs w:val="8"/>
                <w:color w:val="auto"/>
              </w:rPr>
            </w:pPr>
          </w:p>
        </w:tc>
        <w:tc>
          <w:tcPr>
            <w:tcW w:w="1140" w:type="dxa"/>
            <w:vAlign w:val="bottom"/>
            <w:gridSpan w:val="4"/>
            <w:vMerge w:val="restart"/>
          </w:tcPr>
          <w:p>
            <w:pPr>
              <w:jc w:val="center"/>
              <w:ind w:right="280"/>
              <w:spacing w:after="0" w:line="120" w:lineRule="exact"/>
              <w:rPr>
                <w:sz w:val="20"/>
                <w:szCs w:val="20"/>
                <w:color w:val="auto"/>
              </w:rPr>
            </w:pPr>
            <w:r>
              <w:rPr>
                <w:rFonts w:ascii="Times New Roman" w:cs="Times New Roman" w:eastAsia="Times New Roman" w:hAnsi="Times New Roman"/>
                <w:sz w:val="13"/>
                <w:szCs w:val="13"/>
                <w:color w:val="auto"/>
                <w:w w:val="95"/>
              </w:rPr>
              <w:t>Accumulated</w:t>
            </w:r>
          </w:p>
        </w:tc>
        <w:tc>
          <w:tcPr>
            <w:tcW w:w="140" w:type="dxa"/>
            <w:vAlign w:val="bottom"/>
          </w:tcPr>
          <w:p>
            <w:pPr>
              <w:spacing w:after="0"/>
              <w:rPr>
                <w:sz w:val="8"/>
                <w:szCs w:val="8"/>
                <w:color w:val="auto"/>
              </w:rPr>
            </w:pPr>
          </w:p>
        </w:tc>
        <w:tc>
          <w:tcPr>
            <w:tcW w:w="1160" w:type="dxa"/>
            <w:vAlign w:val="bottom"/>
            <w:gridSpan w:val="2"/>
            <w:vMerge w:val="restart"/>
          </w:tcPr>
          <w:p>
            <w:pPr>
              <w:jc w:val="center"/>
              <w:ind w:right="240"/>
              <w:spacing w:after="0" w:line="120" w:lineRule="exact"/>
              <w:rPr>
                <w:sz w:val="20"/>
                <w:szCs w:val="20"/>
                <w:color w:val="auto"/>
              </w:rPr>
            </w:pPr>
            <w:r>
              <w:rPr>
                <w:rFonts w:ascii="Times New Roman" w:cs="Times New Roman" w:eastAsia="Times New Roman" w:hAnsi="Times New Roman"/>
                <w:sz w:val="13"/>
                <w:szCs w:val="13"/>
                <w:color w:val="auto"/>
                <w:w w:val="97"/>
              </w:rPr>
              <w:t>Comprehensive</w:t>
            </w:r>
          </w:p>
        </w:tc>
        <w:tc>
          <w:tcPr>
            <w:tcW w:w="180" w:type="dxa"/>
            <w:vAlign w:val="bottom"/>
          </w:tcPr>
          <w:p>
            <w:pPr>
              <w:spacing w:after="0"/>
              <w:rPr>
                <w:sz w:val="8"/>
                <w:szCs w:val="8"/>
                <w:color w:val="auto"/>
              </w:rPr>
            </w:pPr>
          </w:p>
        </w:tc>
        <w:tc>
          <w:tcPr>
            <w:tcW w:w="1020" w:type="dxa"/>
            <w:vAlign w:val="bottom"/>
            <w:vMerge w:val="restart"/>
          </w:tcPr>
          <w:p>
            <w:pPr>
              <w:jc w:val="center"/>
              <w:ind w:right="94"/>
              <w:spacing w:after="0" w:line="120" w:lineRule="exact"/>
              <w:rPr>
                <w:sz w:val="20"/>
                <w:szCs w:val="20"/>
                <w:color w:val="auto"/>
              </w:rPr>
            </w:pPr>
            <w:r>
              <w:rPr>
                <w:rFonts w:ascii="Times New Roman" w:cs="Times New Roman" w:eastAsia="Times New Roman" w:hAnsi="Times New Roman"/>
                <w:sz w:val="13"/>
                <w:szCs w:val="13"/>
                <w:color w:val="auto"/>
                <w:w w:val="96"/>
              </w:rPr>
              <w:t>Stockholders’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Nine Months Ended September 30, 2021</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Shares</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color w:val="auto"/>
              </w:rPr>
              <w:t>Capital</w:t>
            </w:r>
          </w:p>
        </w:tc>
        <w:tc>
          <w:tcPr>
            <w:tcW w:w="16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color w:val="auto"/>
                <w:w w:val="94"/>
              </w:rPr>
              <w:t>Deficit</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5"/>
              </w:rPr>
              <w:t>Income (loss)</w:t>
            </w:r>
          </w:p>
        </w:tc>
        <w:tc>
          <w:tcPr>
            <w:tcW w:w="180" w:type="dxa"/>
            <w:vAlign w:val="bottom"/>
          </w:tcPr>
          <w:p>
            <w:pPr>
              <w:spacing w:after="0"/>
              <w:rPr>
                <w:sz w:val="14"/>
                <w:szCs w:val="14"/>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7"/>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62,545,275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98,620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Reclassification of stockholders’ convertible notes payable</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2,049,191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Reclassification of redeemable convertible preferred stock</w:t>
            </w: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warrant liability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5,554,440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Business Combination, net of</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redemptions and equity</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issuance costs of $37.0 million</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66,481,545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385,405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385,412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Reclassification of equity to liability related to earn out</w:t>
            </w: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provisions of Business Combination (see note 13)</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(203,082)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(203,082)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 issued upon 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7"/>
                <w:szCs w:val="17"/>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136,754,685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360,566</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298,952</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AND ACCUMULATED OTHER COMPREHENSIVE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color w:val="auto"/>
                <w:w w:val="95"/>
              </w:rPr>
              <w:t>Accumulated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20" w:type="dxa"/>
            <w:vAlign w:val="bottom"/>
          </w:tcPr>
          <w:p>
            <w:pPr>
              <w:spacing w:after="0"/>
              <w:rPr>
                <w:sz w:val="13"/>
                <w:szCs w:val="13"/>
                <w:color w:val="auto"/>
              </w:rPr>
            </w:pPr>
          </w:p>
        </w:tc>
        <w:tc>
          <w:tcPr>
            <w:tcW w:w="2180" w:type="dxa"/>
            <w:vAlign w:val="bottom"/>
            <w:gridSpan w:val="3"/>
          </w:tcPr>
          <w:p>
            <w:pPr>
              <w:jc w:val="right"/>
              <w:ind w:right="494"/>
              <w:spacing w:after="0"/>
              <w:rPr>
                <w:sz w:val="20"/>
                <w:szCs w:val="20"/>
                <w:color w:val="auto"/>
              </w:rPr>
            </w:pPr>
            <w:r>
              <w:rPr>
                <w:rFonts w:ascii="Times New Roman" w:cs="Times New Roman" w:eastAsia="Times New Roman" w:hAnsi="Times New Roman"/>
                <w:sz w:val="13"/>
                <w:szCs w:val="13"/>
                <w:color w:val="auto"/>
              </w:rPr>
              <w:t>Common 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7"/>
              </w:rPr>
              <w:t>Additional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3"/>
                <w:szCs w:val="13"/>
                <w:color w:val="auto"/>
              </w:rPr>
            </w:pPr>
          </w:p>
        </w:tc>
        <w:tc>
          <w:tcPr>
            <w:tcW w:w="104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87"/>
              </w:rPr>
              <w:t>Total</w:t>
            </w: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restart"/>
          </w:tcPr>
          <w:p>
            <w:pPr>
              <w:jc w:val="center"/>
              <w:ind w:right="300"/>
              <w:spacing w:after="0" w:line="131" w:lineRule="exact"/>
              <w:rPr>
                <w:sz w:val="20"/>
                <w:szCs w:val="20"/>
                <w:color w:val="auto"/>
              </w:rPr>
            </w:pPr>
            <w:r>
              <w:rPr>
                <w:rFonts w:ascii="Times New Roman" w:cs="Times New Roman" w:eastAsia="Times New Roman" w:hAnsi="Times New Roman"/>
                <w:sz w:val="13"/>
                <w:szCs w:val="13"/>
                <w:color w:val="auto"/>
              </w:rPr>
              <w:t>Paid-in</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3"/>
            <w:vMerge w:val="restart"/>
          </w:tcPr>
          <w:p>
            <w:pPr>
              <w:jc w:val="center"/>
              <w:ind w:right="260"/>
              <w:spacing w:after="0" w:line="131" w:lineRule="exact"/>
              <w:rPr>
                <w:sz w:val="20"/>
                <w:szCs w:val="20"/>
                <w:color w:val="auto"/>
              </w:rPr>
            </w:pPr>
            <w:r>
              <w:rPr>
                <w:rFonts w:ascii="Times New Roman" w:cs="Times New Roman" w:eastAsia="Times New Roman" w:hAnsi="Times New Roman"/>
                <w:sz w:val="13"/>
                <w:szCs w:val="13"/>
                <w:color w:val="auto"/>
                <w:w w:val="95"/>
              </w:rPr>
              <w:t>Comprehensive</w:t>
            </w:r>
          </w:p>
        </w:tc>
        <w:tc>
          <w:tcPr>
            <w:tcW w:w="160" w:type="dxa"/>
            <w:vAlign w:val="bottom"/>
          </w:tcPr>
          <w:p>
            <w:pPr>
              <w:spacing w:after="0"/>
              <w:rPr>
                <w:sz w:val="5"/>
                <w:szCs w:val="5"/>
                <w:color w:val="auto"/>
              </w:rPr>
            </w:pPr>
          </w:p>
        </w:tc>
        <w:tc>
          <w:tcPr>
            <w:tcW w:w="1040" w:type="dxa"/>
            <w:vAlign w:val="bottom"/>
            <w:vMerge w:val="restart"/>
          </w:tcPr>
          <w:p>
            <w:pPr>
              <w:jc w:val="center"/>
              <w:ind w:right="114"/>
              <w:spacing w:after="0" w:line="131"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43"/>
        </w:trPr>
        <w:tc>
          <w:tcPr>
            <w:tcW w:w="3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Three Months Ended September 30, 2022</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Shares</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color w:val="auto"/>
                <w:w w:val="98"/>
              </w:rPr>
              <w:t>Income (loss)</w:t>
            </w:r>
          </w:p>
        </w:tc>
        <w:tc>
          <w:tcPr>
            <w:tcW w:w="160" w:type="dxa"/>
            <w:vAlign w:val="bottom"/>
          </w:tcPr>
          <w:p>
            <w:pPr>
              <w:spacing w:after="0"/>
              <w:rPr>
                <w:sz w:val="14"/>
                <w:szCs w:val="14"/>
                <w:color w:val="auto"/>
              </w:rPr>
            </w:pPr>
          </w:p>
        </w:tc>
        <w:tc>
          <w:tcPr>
            <w:tcW w:w="104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2"/>
              </w:rPr>
              <w:t>Equity</w:t>
            </w:r>
          </w:p>
        </w:tc>
        <w:tc>
          <w:tcPr>
            <w:tcW w:w="0" w:type="dxa"/>
            <w:vAlign w:val="bottom"/>
          </w:tcPr>
          <w:p>
            <w:pPr>
              <w:spacing w:after="0"/>
              <w:rPr>
                <w:sz w:val="1"/>
                <w:szCs w:val="1"/>
                <w:color w:val="auto"/>
              </w:rPr>
            </w:pPr>
          </w:p>
        </w:tc>
      </w:tr>
      <w:tr>
        <w:trPr>
          <w:trHeight w:val="29"/>
        </w:trPr>
        <w:tc>
          <w:tcPr>
            <w:tcW w:w="3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142,378,934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364,853</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350,908</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upon 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325,001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8,299</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(8,656)</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142,703,935</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366,332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352,030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8"/>
        </w:trPr>
        <w:tc>
          <w:tcPr>
            <w:tcW w:w="3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color w:val="auto"/>
                <w:w w:val="98"/>
              </w:rPr>
              <w:t>Accumulated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2180" w:type="dxa"/>
            <w:vAlign w:val="bottom"/>
            <w:gridSpan w:val="3"/>
          </w:tcPr>
          <w:p>
            <w:pPr>
              <w:jc w:val="right"/>
              <w:ind w:right="474"/>
              <w:spacing w:after="0"/>
              <w:rPr>
                <w:sz w:val="20"/>
                <w:szCs w:val="20"/>
                <w:color w:val="auto"/>
              </w:rPr>
            </w:pPr>
            <w:r>
              <w:rPr>
                <w:rFonts w:ascii="Times New Roman" w:cs="Times New Roman" w:eastAsia="Times New Roman" w:hAnsi="Times New Roman"/>
                <w:sz w:val="13"/>
                <w:szCs w:val="13"/>
                <w:color w:val="auto"/>
              </w:rPr>
              <w:t>Common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color w:val="auto"/>
                <w:w w:val="94"/>
              </w:rPr>
              <w:t>Other</w:t>
            </w:r>
          </w:p>
        </w:tc>
        <w:tc>
          <w:tcPr>
            <w:tcW w:w="160" w:type="dxa"/>
            <w:vAlign w:val="bottom"/>
          </w:tcPr>
          <w:p>
            <w:pPr>
              <w:spacing w:after="0"/>
              <w:rPr>
                <w:sz w:val="14"/>
                <w:szCs w:val="14"/>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restart"/>
          </w:tcPr>
          <w:p>
            <w:pPr>
              <w:jc w:val="center"/>
              <w:ind w:right="280"/>
              <w:spacing w:after="0" w:line="131" w:lineRule="exact"/>
              <w:rPr>
                <w:sz w:val="20"/>
                <w:szCs w:val="20"/>
                <w:color w:val="auto"/>
              </w:rPr>
            </w:pPr>
            <w:r>
              <w:rPr>
                <w:rFonts w:ascii="Times New Roman" w:cs="Times New Roman" w:eastAsia="Times New Roman" w:hAnsi="Times New Roman"/>
                <w:sz w:val="13"/>
                <w:szCs w:val="13"/>
                <w:color w:val="auto"/>
                <w:w w:val="95"/>
              </w:rPr>
              <w:t>Paid-in</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3"/>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color w:val="auto"/>
                <w:w w:val="97"/>
              </w:rPr>
              <w:t>Comprehensive</w:t>
            </w:r>
          </w:p>
        </w:tc>
        <w:tc>
          <w:tcPr>
            <w:tcW w:w="160" w:type="dxa"/>
            <w:vAlign w:val="bottom"/>
          </w:tcPr>
          <w:p>
            <w:pPr>
              <w:spacing w:after="0"/>
              <w:rPr>
                <w:sz w:val="5"/>
                <w:szCs w:val="5"/>
                <w:color w:val="auto"/>
              </w:rPr>
            </w:pPr>
          </w:p>
        </w:tc>
        <w:tc>
          <w:tcPr>
            <w:tcW w:w="1040" w:type="dxa"/>
            <w:vAlign w:val="bottom"/>
            <w:vMerge w:val="restart"/>
          </w:tcPr>
          <w:p>
            <w:pPr>
              <w:jc w:val="center"/>
              <w:ind w:right="74"/>
              <w:spacing w:after="0" w:line="131"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43"/>
        </w:trPr>
        <w:tc>
          <w:tcPr>
            <w:tcW w:w="3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Nine Months Ended September 30, 2022</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Shares</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5"/>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Retained Earnings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color w:val="auto"/>
                <w:w w:val="95"/>
              </w:rPr>
              <w:t>Income (loss)</w:t>
            </w:r>
          </w:p>
        </w:tc>
        <w:tc>
          <w:tcPr>
            <w:tcW w:w="160" w:type="dxa"/>
            <w:vAlign w:val="bottom"/>
          </w:tcPr>
          <w:p>
            <w:pPr>
              <w:spacing w:after="0"/>
              <w:rPr>
                <w:sz w:val="14"/>
                <w:szCs w:val="14"/>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29"/>
        </w:trPr>
        <w:tc>
          <w:tcPr>
            <w:tcW w:w="3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141,301,569</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361,542</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(56,797)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303,510</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upon 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1,269,717</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Immediately vested common stock 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132,649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4,416</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62,576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(18,844)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(18,844)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142,703,935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366,332</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352,030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019"/>
          </w:cols>
          <w:pgMar w:left="1440" w:top="927" w:right="1440" w:bottom="1440" w:gutter="0" w:footer="0" w:header="0"/>
        </w:sectPr>
      </w:pPr>
    </w:p>
    <w:bookmarkStart w:id="8" w:name="page9"/>
    <w:bookmarkEnd w:id="8"/>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on right-of-use asset</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Accretion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common stock warrants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preferred stock warrants liability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incremental acquisition fee accrual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Grants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on operating lease liabilities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 net of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Capitalized interest on plant construction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of marketable securities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340" w:right="2400"/>
        <w:spacing w:after="0" w:line="297" w:lineRule="auto"/>
        <w:rPr>
          <w:sz w:val="20"/>
          <w:szCs w:val="20"/>
          <w:color w:val="auto"/>
        </w:rPr>
      </w:pPr>
      <w:r>
        <w:rPr>
          <w:rFonts w:ascii="Times New Roman" w:cs="Times New Roman" w:eastAsia="Times New Roman" w:hAnsi="Times New Roman"/>
          <w:sz w:val="18"/>
          <w:szCs w:val="18"/>
          <w:color w:val="auto"/>
        </w:rPr>
        <w:t>Proceeds from stockholders' notes payable, net of debt issuance costs Payment of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340" w:right="1980"/>
        <w:spacing w:after="0" w:line="297" w:lineRule="auto"/>
        <w:rPr>
          <w:sz w:val="20"/>
          <w:szCs w:val="20"/>
          <w:color w:val="auto"/>
        </w:rPr>
      </w:pPr>
      <w:r>
        <w:rPr>
          <w:rFonts w:ascii="Times New Roman" w:cs="Times New Roman" w:eastAsia="Times New Roman" w:hAnsi="Times New Roman"/>
          <w:sz w:val="18"/>
          <w:szCs w:val="18"/>
          <w:color w:val="auto"/>
        </w:rPr>
        <w:t>Proceeds from Canadian Government Research and Development Program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Business combination, net of issuance costs paid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17913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44"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18" w:lineRule="exact"/>
        <w:rPr>
          <w:sz w:val="20"/>
          <w:szCs w:val="20"/>
          <w:color w:val="auto"/>
        </w:rPr>
      </w:pPr>
    </w:p>
    <w:p>
      <w:pPr>
        <w:spacing w:after="0"/>
        <w:tabs>
          <w:tab w:leader="none" w:pos="760" w:val="left"/>
          <w:tab w:leader="none" w:pos="1440" w:val="left"/>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62,576</w:t>
        <w:tab/>
        <w:t>$</w:t>
      </w:r>
      <w:r>
        <w:rPr>
          <w:sz w:val="20"/>
          <w:szCs w:val="20"/>
          <w:color w:val="auto"/>
        </w:rPr>
        <w:tab/>
      </w:r>
      <w:r>
        <w:rPr>
          <w:rFonts w:ascii="Times New Roman" w:cs="Times New Roman" w:eastAsia="Times New Roman" w:hAnsi="Times New Roman"/>
          <w:sz w:val="17"/>
          <w:szCs w:val="17"/>
          <w:color w:val="auto"/>
        </w:rPr>
        <w:t>36,853</w:t>
      </w:r>
    </w:p>
    <w:p>
      <w:pPr>
        <w:spacing w:after="0" w:line="306" w:lineRule="exact"/>
        <w:rPr>
          <w:sz w:val="20"/>
          <w:szCs w:val="20"/>
          <w:color w:val="auto"/>
        </w:rPr>
      </w:pPr>
    </w:p>
    <w:p>
      <w:pPr>
        <w:ind w:left="2460" w:hanging="1460"/>
        <w:spacing w:after="0"/>
        <w:tabs>
          <w:tab w:leader="none" w:pos="2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w:t>
      </w:r>
    </w:p>
    <w:p>
      <w:pPr>
        <w:spacing w:after="0" w:line="49" w:lineRule="exact"/>
        <w:rPr>
          <w:rFonts w:ascii="Times New Roman" w:cs="Times New Roman" w:eastAsia="Times New Roman" w:hAnsi="Times New Roman"/>
          <w:sz w:val="18"/>
          <w:szCs w:val="18"/>
          <w:color w:val="auto"/>
        </w:rPr>
      </w:pPr>
    </w:p>
    <w:p>
      <w:pPr>
        <w:ind w:left="2540" w:hanging="1540"/>
        <w:spacing w:after="0"/>
        <w:tabs>
          <w:tab w:leader="none" w:pos="2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60"/>
        <w:spacing w:after="0"/>
        <w:tabs>
          <w:tab w:leader="none" w:pos="2300" w:val="left"/>
        </w:tabs>
        <w:rPr>
          <w:sz w:val="20"/>
          <w:szCs w:val="20"/>
          <w:color w:val="auto"/>
        </w:rPr>
      </w:pPr>
      <w:r>
        <w:rPr>
          <w:rFonts w:ascii="Times New Roman" w:cs="Times New Roman" w:eastAsia="Times New Roman" w:hAnsi="Times New Roman"/>
          <w:sz w:val="18"/>
          <w:szCs w:val="18"/>
          <w:color w:val="auto"/>
        </w:rPr>
        <w:t>3,719</w:t>
      </w:r>
      <w:r>
        <w:rPr>
          <w:sz w:val="20"/>
          <w:szCs w:val="20"/>
          <w:color w:val="auto"/>
        </w:rPr>
        <w:tab/>
      </w:r>
      <w:r>
        <w:rPr>
          <w:rFonts w:ascii="Times New Roman" w:cs="Times New Roman" w:eastAsia="Times New Roman" w:hAnsi="Times New Roman"/>
          <w:sz w:val="18"/>
          <w:szCs w:val="18"/>
          <w:color w:val="auto"/>
        </w:rPr>
        <w:t>4,808</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—14</w:t>
      </w:r>
    </w:p>
    <w:p>
      <w:pPr>
        <w:spacing w:after="0" w:line="4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2,211</w:t>
      </w:r>
    </w:p>
    <w:p>
      <w:pPr>
        <w:spacing w:after="0" w:line="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(1,725)</w:t>
      </w:r>
      <w:r>
        <w:rPr>
          <w:rFonts w:ascii="Times New Roman" w:cs="Times New Roman" w:eastAsia="Times New Roman" w:hAnsi="Times New Roman"/>
          <w:sz w:val="17"/>
          <w:szCs w:val="17"/>
          <w:color w:val="auto"/>
        </w:rPr>
        <w:t>1,426</w:t>
      </w:r>
    </w:p>
    <w:p>
      <w:pPr>
        <w:spacing w:after="0" w:line="50" w:lineRule="exact"/>
        <w:rPr>
          <w:sz w:val="20"/>
          <w:szCs w:val="20"/>
          <w:color w:val="auto"/>
        </w:rPr>
      </w:pPr>
    </w:p>
    <w:p>
      <w:pPr>
        <w:jc w:val="both"/>
        <w:ind w:left="700"/>
        <w:spacing w:after="0"/>
        <w:tabs>
          <w:tab w:leader="none" w:pos="2140" w:val="left"/>
        </w:tabs>
        <w:rPr>
          <w:sz w:val="20"/>
          <w:szCs w:val="20"/>
          <w:color w:val="auto"/>
        </w:rPr>
      </w:pPr>
      <w:r>
        <w:rPr>
          <w:rFonts w:ascii="Times New Roman" w:cs="Times New Roman" w:eastAsia="Times New Roman" w:hAnsi="Times New Roman"/>
          <w:sz w:val="18"/>
          <w:szCs w:val="18"/>
          <w:color w:val="auto"/>
        </w:rPr>
        <w:t>(15,610)</w:t>
      </w:r>
      <w:r>
        <w:rPr>
          <w:sz w:val="20"/>
          <w:szCs w:val="20"/>
          <w:color w:val="auto"/>
        </w:rPr>
        <w:tab/>
      </w:r>
      <w:r>
        <w:rPr>
          <w:rFonts w:ascii="Times New Roman" w:cs="Times New Roman" w:eastAsia="Times New Roman" w:hAnsi="Times New Roman"/>
          <w:sz w:val="18"/>
          <w:szCs w:val="18"/>
          <w:color w:val="auto"/>
        </w:rPr>
        <w:t>(27,672)</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35,035</w:t>
      </w:r>
    </w:p>
    <w:p>
      <w:pPr>
        <w:spacing w:after="0" w:line="50" w:lineRule="exact"/>
        <w:rPr>
          <w:sz w:val="20"/>
          <w:szCs w:val="20"/>
          <w:color w:val="auto"/>
        </w:rPr>
      </w:pPr>
    </w:p>
    <w:p>
      <w:pPr>
        <w:jc w:val="both"/>
        <w:ind w:left="700"/>
        <w:spacing w:after="0"/>
        <w:tabs>
          <w:tab w:leader="none" w:pos="2140" w:val="left"/>
        </w:tabs>
        <w:rPr>
          <w:sz w:val="20"/>
          <w:szCs w:val="20"/>
          <w:color w:val="auto"/>
        </w:rPr>
      </w:pPr>
      <w:r>
        <w:rPr>
          <w:rFonts w:ascii="Times New Roman" w:cs="Times New Roman" w:eastAsia="Times New Roman" w:hAnsi="Times New Roman"/>
          <w:sz w:val="18"/>
          <w:szCs w:val="18"/>
          <w:color w:val="auto"/>
        </w:rPr>
        <w:t>(63,561)</w:t>
      </w:r>
      <w:r>
        <w:rPr>
          <w:sz w:val="20"/>
          <w:szCs w:val="20"/>
          <w:color w:val="auto"/>
        </w:rPr>
        <w:tab/>
      </w:r>
      <w:r>
        <w:rPr>
          <w:rFonts w:ascii="Times New Roman" w:cs="Times New Roman" w:eastAsia="Times New Roman" w:hAnsi="Times New Roman"/>
          <w:sz w:val="18"/>
          <w:szCs w:val="18"/>
          <w:color w:val="auto"/>
        </w:rPr>
        <w:t>(67,008)</w:t>
      </w:r>
    </w:p>
    <w:p>
      <w:pPr>
        <w:spacing w:after="0" w:line="50" w:lineRule="exact"/>
        <w:rPr>
          <w:sz w:val="20"/>
          <w:szCs w:val="20"/>
          <w:color w:val="auto"/>
        </w:rPr>
      </w:pPr>
    </w:p>
    <w:p>
      <w:pPr>
        <w:ind w:left="2540" w:hanging="1525"/>
        <w:spacing w:after="0"/>
        <w:tabs>
          <w:tab w:leader="none" w:pos="2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2380" w:hanging="1455"/>
        <w:spacing w:after="0"/>
        <w:tabs>
          <w:tab w:leader="none" w:pos="2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w:t>
      </w:r>
    </w:p>
    <w:p>
      <w:pPr>
        <w:spacing w:after="0" w:line="4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50"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(1,464)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57"/>
        </w:trPr>
        <w:tc>
          <w:tcPr>
            <w:tcW w:w="9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(5,019)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9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5,195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57"/>
        </w:trPr>
        <w:tc>
          <w:tcPr>
            <w:tcW w:w="9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4,380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r>
    </w:tbl>
    <w:p>
      <w:pPr>
        <w:spacing w:after="0" w:line="22" w:lineRule="exact"/>
        <w:rPr>
          <w:sz w:val="20"/>
          <w:szCs w:val="20"/>
          <w:color w:val="auto"/>
        </w:rPr>
      </w:pPr>
    </w:p>
    <w:p>
      <w:pPr>
        <w:ind w:left="2540" w:hanging="1615"/>
        <w:spacing w:after="0"/>
        <w:tabs>
          <w:tab w:leader="none" w:pos="2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60"/>
        <w:spacing w:after="0"/>
        <w:tabs>
          <w:tab w:leader="none" w:pos="2520" w:val="left"/>
        </w:tabs>
        <w:rPr>
          <w:sz w:val="20"/>
          <w:szCs w:val="20"/>
          <w:color w:val="auto"/>
        </w:rPr>
      </w:pPr>
      <w:r>
        <w:rPr>
          <w:rFonts w:ascii="Times New Roman" w:cs="Times New Roman" w:eastAsia="Times New Roman" w:hAnsi="Times New Roman"/>
          <w:sz w:val="18"/>
          <w:szCs w:val="18"/>
          <w:color w:val="auto"/>
        </w:rPr>
        <w:t>2,214</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460" w:hanging="1460"/>
        <w:spacing w:after="0"/>
        <w:tabs>
          <w:tab w:leader="none" w:pos="2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w:t>
      </w:r>
    </w:p>
    <w:p>
      <w:pPr>
        <w:spacing w:after="0" w:line="63"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(9,462)(15,616)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-144780</wp:posOffset>
            </wp:positionV>
            <wp:extent cx="17913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86" w:lineRule="exact"/>
        <w:rPr>
          <w:sz w:val="20"/>
          <w:szCs w:val="20"/>
          <w:color w:val="auto"/>
        </w:rPr>
      </w:pPr>
    </w:p>
    <w:p>
      <w:pPr>
        <w:jc w:val="both"/>
        <w:ind w:left="700"/>
        <w:spacing w:after="0"/>
        <w:tabs>
          <w:tab w:leader="none" w:pos="2240" w:val="left"/>
        </w:tabs>
        <w:rPr>
          <w:sz w:val="20"/>
          <w:szCs w:val="20"/>
          <w:color w:val="auto"/>
        </w:rPr>
      </w:pPr>
      <w:r>
        <w:rPr>
          <w:rFonts w:ascii="Times New Roman" w:cs="Times New Roman" w:eastAsia="Times New Roman" w:hAnsi="Times New Roman"/>
          <w:sz w:val="18"/>
          <w:szCs w:val="18"/>
          <w:color w:val="auto"/>
        </w:rPr>
        <w:t>(57,825)</w:t>
      </w:r>
      <w:r>
        <w:rPr>
          <w:sz w:val="20"/>
          <w:szCs w:val="20"/>
          <w:color w:val="auto"/>
        </w:rPr>
        <w:tab/>
      </w:r>
      <w:r>
        <w:rPr>
          <w:rFonts w:ascii="Times New Roman" w:cs="Times New Roman" w:eastAsia="Times New Roman" w:hAnsi="Times New Roman"/>
          <w:sz w:val="18"/>
          <w:szCs w:val="18"/>
          <w:color w:val="auto"/>
        </w:rPr>
        <w:t>(5,113)</w:t>
      </w:r>
    </w:p>
    <w:p>
      <w:pPr>
        <w:spacing w:after="0" w:line="50" w:lineRule="exact"/>
        <w:rPr>
          <w:sz w:val="20"/>
          <w:szCs w:val="20"/>
          <w:color w:val="auto"/>
        </w:rPr>
      </w:pPr>
    </w:p>
    <w:p>
      <w:pPr>
        <w:ind w:left="2540" w:hanging="1615"/>
        <w:spacing w:after="0"/>
        <w:tabs>
          <w:tab w:leader="none" w:pos="2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(2,584,027)—</w:t>
      </w:r>
    </w:p>
    <w:p>
      <w:pPr>
        <w:spacing w:after="0" w:line="4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2,587,649—</w:t>
      </w:r>
    </w:p>
    <w:p>
      <w:pPr>
        <w:spacing w:after="0" w:line="49"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124,319—</w:t>
      </w:r>
    </w:p>
    <w:p>
      <w:pPr>
        <w:spacing w:after="0" w:line="63" w:lineRule="exact"/>
        <w:rPr>
          <w:sz w:val="20"/>
          <w:szCs w:val="20"/>
          <w:color w:val="auto"/>
        </w:rPr>
      </w:pPr>
    </w:p>
    <w:p>
      <w:pPr>
        <w:jc w:val="both"/>
        <w:ind w:left="780"/>
        <w:spacing w:after="0"/>
        <w:tabs>
          <w:tab w:leader="none" w:pos="2240" w:val="left"/>
        </w:tabs>
        <w:rPr>
          <w:sz w:val="20"/>
          <w:szCs w:val="20"/>
          <w:color w:val="auto"/>
        </w:rPr>
      </w:pPr>
      <w:r>
        <w:rPr>
          <w:rFonts w:ascii="Times New Roman" w:cs="Times New Roman" w:eastAsia="Times New Roman" w:hAnsi="Times New Roman"/>
          <w:sz w:val="18"/>
          <w:szCs w:val="18"/>
          <w:color w:val="auto"/>
        </w:rPr>
        <w:t>69,983</w:t>
      </w:r>
      <w:r>
        <w:rPr>
          <w:sz w:val="20"/>
          <w:szCs w:val="20"/>
          <w:color w:val="auto"/>
        </w:rPr>
        <w:tab/>
      </w:r>
      <w:r>
        <w:rPr>
          <w:rFonts w:ascii="Times New Roman" w:cs="Times New Roman" w:eastAsia="Times New Roman" w:hAnsi="Times New Roman"/>
          <w:sz w:val="18"/>
          <w:szCs w:val="18"/>
          <w:color w:val="auto"/>
        </w:rPr>
        <w:t>(5,113)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1791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11,707</w:t>
      </w:r>
    </w:p>
    <w:p>
      <w:pPr>
        <w:spacing w:after="0" w:line="4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—(906)</w:t>
      </w:r>
    </w:p>
    <w:p>
      <w:pPr>
        <w:spacing w:after="0" w:line="4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287</w:t>
      </w:r>
    </w:p>
    <w:p>
      <w:pPr>
        <w:spacing w:after="0" w:line="50" w:lineRule="exact"/>
        <w:rPr>
          <w:sz w:val="20"/>
          <w:szCs w:val="20"/>
          <w:color w:val="auto"/>
        </w:rPr>
      </w:pPr>
    </w:p>
    <w:p>
      <w:pPr>
        <w:ind w:left="2540" w:hanging="1540"/>
        <w:spacing w:after="0"/>
        <w:tabs>
          <w:tab w:leader="none" w:pos="2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p>
    <w:p>
      <w:pPr>
        <w:spacing w:after="0" w:line="4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467,530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1791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43" w:lineRule="exact"/>
        <w:rPr>
          <w:sz w:val="20"/>
          <w:szCs w:val="20"/>
          <w:color w:val="auto"/>
        </w:rPr>
      </w:pPr>
    </w:p>
    <w:p>
      <w:pPr>
        <w:ind w:left="1000"/>
        <w:spacing w:after="0"/>
        <w:tabs>
          <w:tab w:leader="none" w:pos="2120" w:val="left"/>
        </w:tabs>
        <w:rPr>
          <w:sz w:val="20"/>
          <w:szCs w:val="20"/>
          <w:color w:val="auto"/>
        </w:rPr>
      </w:pPr>
      <w:r>
        <w:rPr>
          <w:rFonts w:ascii="Times New Roman" w:cs="Times New Roman" w:eastAsia="Times New Roman" w:hAnsi="Times New Roman"/>
          <w:sz w:val="18"/>
          <w:szCs w:val="18"/>
          <w:color w:val="auto"/>
        </w:rPr>
        <w:t>371</w:t>
      </w:r>
      <w:r>
        <w:rPr>
          <w:sz w:val="20"/>
          <w:szCs w:val="20"/>
          <w:color w:val="auto"/>
        </w:rPr>
        <w:tab/>
      </w:r>
      <w:r>
        <w:rPr>
          <w:rFonts w:ascii="Times New Roman" w:cs="Times New Roman" w:eastAsia="Times New Roman" w:hAnsi="Times New Roman"/>
          <w:sz w:val="18"/>
          <w:szCs w:val="18"/>
          <w:color w:val="auto"/>
        </w:rPr>
        <w:t>478,674</w:t>
      </w:r>
    </w:p>
    <w:p>
      <w:pPr>
        <w:spacing w:after="0" w:line="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17913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7720" w:space="720"/>
            <w:col w:w="2800"/>
          </w:cols>
          <w:pgMar w:left="320" w:top="169" w:right="339" w:bottom="0" w:gutter="0" w:footer="0" w:header="0"/>
        </w:sectPr>
      </w:pPr>
    </w:p>
    <w:tbl>
      <w:tblPr>
        <w:tblLayout w:type="fixed"/>
        <w:tblInd w:w="0" w:type="dxa"/>
        <w:tblCellMar>
          <w:top w:w="0" w:type="dxa"/>
          <w:left w:w="0" w:type="dxa"/>
          <w:bottom w:w="0" w:type="dxa"/>
          <w:right w:w="0" w:type="dxa"/>
        </w:tblCellMar>
      </w:tblP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Effects of foreign exchange rate changes on the balance of cash and cash equivalents, and restricted cash held in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457,904</w:t>
            </w:r>
          </w:p>
        </w:tc>
        <w:tc>
          <w:tcPr>
            <w:tcW w:w="0" w:type="dxa"/>
            <w:vAlign w:val="bottom"/>
          </w:tcPr>
          <w:p>
            <w:pPr>
              <w:spacing w:after="0"/>
              <w:rPr>
                <w:sz w:val="1"/>
                <w:szCs w:val="1"/>
                <w:color w:val="auto"/>
              </w:rPr>
            </w:pPr>
          </w:p>
        </w:tc>
      </w:tr>
      <w:tr>
        <w:trPr>
          <w:trHeight w:val="26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the period</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43"/>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the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459,778</w:t>
            </w:r>
          </w:p>
        </w:tc>
        <w:tc>
          <w:tcPr>
            <w:tcW w:w="0" w:type="dxa"/>
            <w:vAlign w:val="bottom"/>
          </w:tcPr>
          <w:p>
            <w:pPr>
              <w:spacing w:after="0"/>
              <w:rPr>
                <w:sz w:val="1"/>
                <w:szCs w:val="1"/>
                <w:color w:val="auto"/>
              </w:rPr>
            </w:pPr>
          </w:p>
        </w:tc>
      </w:tr>
      <w:tr>
        <w:trPr>
          <w:trHeight w:val="263"/>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stockholder convertible notes payable to common stock</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0" w:type="dxa"/>
            <w:vAlign w:val="bottom"/>
          </w:tcPr>
          <w:p>
            <w:pPr>
              <w:spacing w:after="0"/>
              <w:rPr>
                <w:sz w:val="1"/>
                <w:szCs w:val="1"/>
                <w:color w:val="auto"/>
              </w:rPr>
            </w:pPr>
          </w:p>
        </w:tc>
      </w:tr>
      <w:tr>
        <w:trPr>
          <w:trHeight w:val="21"/>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redeemable convertible preferred stock warrants to common stock</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54,267</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Reclassification of contingently issued equity to liability</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203,082</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assumed from business combination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81,364</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Business combination transaction costs, accrued but not paid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lease obligations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capitalized into property, plant, and equipment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related to derivative liability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6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9" w:right="339" w:bottom="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ORIGIN MATERIALS,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09"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these notes to “Origin”, “the Company”, “we”, “us” and “our” and any related terms are intended to mean the post-Business Combination Origin Materials, Inc. and its consolidated subsidiaries.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mission is to help enable the world’s transition to sustainable materials by replacing petroleum-based materials with decarbonized materials in a wide range of end products, such as food and beverage packaging, clothing, textiles, plastics, car parts, carpeting, tires, adhesives, soil amendments and more. The Company’s technology can convert sustainable feedstocks, such as sustainably harvested wood, agricultural waste, wood waste and corrugated cardboard, into materials and products that are currently made from fossil feedstocks, such as petroleum and natural gas. The Company’s products are intended to compete directly with petroleum-derived products on both performance and price, as well as provide a significant unit cost advantage over products made from other low-carbon feedstocks.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currently developing and constructing its first manufacturing plant in Ontario, Canada (“Origin 1”), with mechanical completion expected in December 2022. The Company is also currently in the planning phase for the construction of a significantly larger manufacturing plant (“Origin 2”), which is expected to become operational in 2025.</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June 25, 2021 (the “Closing Date”), Artius Acquisition Inc. (“Artius”), a special purpose acquisition company, consummated the Merger Agreement and other Related Agreements (the “Merger Agreement”) dated February 16, 2021, by and among Artius, Zero Carbon Merger Sub Inc., a Delaware corporation and a wholly owned subsidiary of Artius (“Merger Sub”), and Micromidas, Inc. a Delaware corporation (now known as Origin Materials Operating Inc., (“Legacy Origin”)).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a business combination between Artius and Legacy Origin was effected through the merger of Merger Sub with and into Legacy Origin, with Legacy Origin surviving as the surviving company and as a wholly-owned subsidiary of Artius (the “Merger” and, collectively with the other transactions described in the Merger Agreement, the “Business Combination”). On the Closing Date, Artius changed its name to Origin Materials, Inc. (collectively with its subsidiaries, the “Company”).</w:t>
      </w:r>
    </w:p>
    <w:p>
      <w:pPr>
        <w:spacing w:after="0" w:line="178"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Business Combination, please refer to Note 4,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to these unaudited condensed consolidated financial statements.</w:t>
      </w:r>
    </w:p>
    <w:p>
      <w:pPr>
        <w:spacing w:after="0" w:line="264"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Liquidity</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believes that the Business Combination has provided substantial liquidity and that its $362.2 million of cash and cash equivalents, restricted cash, and marketable securities will enable it to fund its planned operations for at least twelve months from the issuance date of these unaudited condensed consolidated financial statements.</w:t>
      </w:r>
    </w:p>
    <w:p>
      <w:pPr>
        <w:spacing w:after="0" w:line="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Beginning in March 2020, the COVID-19 pandemic and the measures imposed to contain this pandemic have disrupted and are expected to continue to impact the Company’s business. The magnitude of the impact of the COVID-19 pandemic on the Company’s productivity, results of operations and financial position, and its disruption to the Company’s business and timeline, will depend in part, on the length and severity of these restrictions and on the Company’s ability to conduct business in the ordinary course. We continue to monitor the rapidly evolving conditions and circumstances, as well as guidance from international and domestic authorities, including public health authorities, and we may need to take additional actions based on their recommendations. There is considerable uncertainty regarding the impact on our business stemming from current measures and potential future measures that could restrict access to our facilities, limit manufacturing and support operations and place restrictions on our workforce and suppliers. The measures implemented by various authorities related to the COVID-19 outbreak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or to attend trade shows, investor conferences and other events.</w:t>
      </w:r>
    </w:p>
    <w:p>
      <w:pPr>
        <w:spacing w:after="0" w:line="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February 2022, Russia began a military intervention in Ukraine. In response, global sanctions were imposed against Russia. These sanctions and the related global ramifications could impact the costs and timing of construction of the Origin 1 and Origin 2 plants.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0" w:name="page11"/>
    <w:bookmarkEnd w:id="10"/>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(“U.S. GAAP”) as determined by the Financial Accounting Standards Board (“FASB”) Accounting Standards Codification (“ASC”) and pursuant to the regulations of the SEC.</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merger between Merger Sub and Legacy Origin was accounted for as a reverse recapitalization in accordance with U.S. GAAP (the “Reverse Recapitalization”). Under this method of accounting, Artius was treated as the “acquired” company and Legacy Origin was treated as the acquirer for financial reporting purposes.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Origin issuing stock for the net assets of Artius, accompanied by a recapitalization. The net assets of Artius are stated at historical cost, with no goodwill or other intangible assets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Origin was determined to be the accounting acquirer based on the following predominant factors:</w:t>
      </w:r>
    </w:p>
    <w:p>
      <w:pPr>
        <w:spacing w:after="0" w:line="139"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Company’s Board of Directors (the “Board”) and management are primarily composed of individuals associated with Legacy Origin;</w:t>
      </w:r>
    </w:p>
    <w:p>
      <w:pPr>
        <w:spacing w:after="0" w:line="123"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Legacy Origin’s senior management comprise the senior management roles of the Company and are responsible for the day-to-day operations;</w:t>
      </w:r>
    </w:p>
    <w:p>
      <w:pPr>
        <w:spacing w:after="0" w:line="111" w:lineRule="exact"/>
        <w:rPr>
          <w:rFonts w:ascii="Arial" w:cs="Arial" w:eastAsia="Arial" w:hAnsi="Arial"/>
          <w:sz w:val="21"/>
          <w:szCs w:val="21"/>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assumed the “doing business as” name of Legacy Origin; and</w:t>
      </w:r>
    </w:p>
    <w:p>
      <w:pPr>
        <w:spacing w:after="0" w:line="143" w:lineRule="exact"/>
        <w:rPr>
          <w:rFonts w:ascii="Arial" w:cs="Arial" w:eastAsia="Arial" w:hAnsi="Arial"/>
          <w:sz w:val="22"/>
          <w:szCs w:val="22"/>
          <w:color w:val="auto"/>
        </w:rPr>
      </w:pPr>
    </w:p>
    <w:p>
      <w:pPr>
        <w:ind w:left="980" w:right="40" w:hanging="324"/>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intended strategy and operations of the Company continue Legacy Origin’s current strategy and operations as a carbon negative materials company with a mission to enable the world’s transition to sustainable materials.</w:t>
      </w:r>
    </w:p>
    <w:p>
      <w:pPr>
        <w:spacing w:after="0" w:line="200"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The consolidated assets, liabilities and results of operations prior to the Reverse Recapitalization are those of Legacy Origin. The shares and corresponding capital amounts and losses per share, prior to the Business Combination, have been retroactively restated based on shares reflecting the Exchange Ratio (as defined below) established in the Business Combination.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expenses during the reporting periods. Estimates made by the Company include, but are not limited to, those related to the valuation of common stock and valuation of convertible preferred stock warrants prior to the Business Combination, valuation of the earnout liability, valuation of assumed common stock warrants liability, carrying amount and useful lives of property and equipment and intangible assets, impairment assessments, marketable securities, stock-based compensation expense, probabilities of achievement of performance conditions on performance stock awards,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 as of September 30, 2022, the interim Condensed Consolidated Statements of Operations and Comprehensive Income (Loss), and the interim Condensed Consolidated Statements of Stockholders’ Equity and Accumulated Other Comprehensive Income (Loss) for the three and nine months ended September 30, 2022 and 2021, and the interim Condensed Consolidated Statements of Cash Flows for the nine months ended September 30, 2022 and 2021, are unaudited. The unaudited interim condensed consolidated financial statements have been prepared on the same basis as the audited annual consolidated financial statements and, in management’s opinion, include all adjustments consisting of only normal recurring adjustments necessary for the fair statement of the Company’s financial position as of September 30, 2022 and its results of operations for the three and nine months ended September 30, 2022 and 2021 and cash flows for the nine months ended September 30, 2022 and 2021. The financial data and the other financial information disclosed in the notes to these condensed consolidated financial statements related to the three and nine-month periods are also unaudited. The results of operations for the three and nine months ended September 30, 2022 are not necessarily indicative of the results to be expected for the full fiscal year or any other period.</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Company's audited annual financial statements and notes thereto for the year ended December 31, 2021 included the Company’s Form 10-K as filed with the U.S. Securities and Exchange Commission (“SEC”) on March 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have been prepared in accordance with U.S. GAAP and applicable rules and regulations of the SEC and include the accounts of the Company and its wholly-owned subsidiaries, Origin Materials Canada Holding Limited, Origin Materials Canada Polyesters Limited, Origin Material Canada Pioneer Limited, Origin Materials Canada Research Limited, Origin Materials Operating, Inc, Origin US Megasite Holding, LLC, Origin US Megasite I, LLC, Origin US Megasite Development, LLC, and Origin US Megasite Operating, LLC. All intercompany accounts and transactions have been eliminated in 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 maintains its cash, cash equivalents, and marketable securities accounts with a financial institution where, at times, deposits exceed federal insurance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initial maturity of three months or less at the date of purchase to be cash equivalents. The Company maintains such funds in cash deposits and money market accounts.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Restricted cash consists of cash held in a control account as collateral for the Company’s credit card services, escrow services, and standby letter of credit. These restricted cash balances have been excluded from cash and cash equivalents balance and are included within other current assets in the Condensed Consolidated Balance Sheets based on the respective maturity dates.</w:t>
      </w:r>
    </w:p>
    <w:p>
      <w:pPr>
        <w:spacing w:after="0" w:line="68"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The Company entered into an escrow agreement on September 27, 2019 for $1.3 million, whereby the funds would be used for construction and transportation services in connection with Origin 1. At September 30, 2022 and December 31, 2021, the escrow account had a balance of $0.3 million.</w:t>
      </w:r>
    </w:p>
    <w:p>
      <w:pPr>
        <w:spacing w:after="0" w:line="3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has a standby letter of credit, whereby the funds may be used for the completion of work, services, and improvements in connection with Origin 1. The standby letter of credit matures and automatically renews in October of each year. At September 30, 2022 and December 31, 2021, the standby letter of credit was $0.2 million.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46,637</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investment policy is consistent with the definition of available-for-sale securities. The Company does not buy and hold securities principally for the purpose of selling them in the near future. The Company’s policy is focused on the preservation of capital, liquidity, and return. The Company considers all of its marketable debt securities as available for use in current operations, including those with maturity dates beyond one year, and therefore classifies these securities within current assets on the consolidated balance sheets. Securities are classified as available for sale and are carried at fair value, with the change in unrealized gains and losses, net of tax, reported as a separate component on the consolidated statements of comprehensive income until realized. Fair value is determined based on quoted market rates when observable or utilizing data points that are observable, such as quoted prices, interest rates and yield curves. Securities with an amortized cost basis in excess of estimated fair value are assessed to determine what amount of the excess, if any, is caused by expected credit losses. Expected credit losses on securities are recognized in other income (expense), net on the consolidated statements of operations and comprehensive loss, and any remaining unrealized losses, net of taxes, are included in accumulated other comprehensive loss in the consolidated statement of stockholders' equity. For the purposes of computing realized and unrealized gains and losses, the cost of securities sold is based on the specific-identification method. Interest on securities classified as available for sale is included as a component of interest income within other income (expense).</w:t>
      </w:r>
    </w:p>
    <w:p>
      <w:pPr>
        <w:spacing w:after="0" w:line="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nature of these financial instruments include instruments for which quoted prices are available but traded less frequently, instruments whose fair value has been derived using a model where inputs to the model are directly observable in the market, or can be derived principally from or corroborated by observable market data, and instruments that are fair valued using other financial instruments, the parameters of which can be directly observed. Level 2 financial instruments include agency mortgage-backed securities, corporate fixed income securities infrequently traded, and other securities, which primarily consist of sovereign debt, U.S. government agency securities, loans, and state and municipal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evaluated the stockholder convertible notes payable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determined that the embedded components of these contracts qualify as a derivative to be separately accounted for as a liability. The Company records the fair value of the embedded components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fair value of the derivatives was calculated using a model that estimated the value that would be paid to transfer the liability in an orderly transaction between market participants at the measurement date. The fair value of the derivative liabilities is revalued on each balance sheet date with a corresponding gain or loss recorded in the Consolidated Statements of Operations and Comprehensive Income (Loss).</w:t>
      </w:r>
    </w:p>
    <w:p>
      <w:pPr>
        <w:spacing w:after="0" w:line="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enters into foreign currency derivative contracts with financial institutions to reduce foreign exchange risk related to marketable securities. The Company uses forward currency derivative contracts to minimize the Company’s exposure to balances primarily denominated in the British Pound Sterling and Australian Dollar. The Company’s foreign currency derivative contracts, which are not designated as hedging instruments, are used to reduce the exchange rate risk associated primarily with marketable securities. The Company’s derivative financial instruments program is not designated for trading or speculative purposes. Outstanding foreign currency derivative contracts are recorded at fair value on the consolidated balance sheets.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Foreign currency derivative contracts are marked-to-market at the end of each reporting period with gains and losses recognized in the change in fair value of derivatives within other (income) expense. While the contract or notional amount is often used to express the volume of foreign currency derivative contracts, the amounts potentially subject to credit risk are generally limited to the amounts, if any, by which the counterparties’ obligations under the agreements exceed the obligations of the Company to the counterparties. The notional amount of foreign currency derivative contracts as of September 30, 2022 and December 31, 2021 was $21.8 million and $63.7 million,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under current accounting guidance prioritizes the inputs to valuation techniques used to measure fair value into three broad levels (Level 1, Level 2, and Level 3).</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 and reflect the Company’s own assumptions about the assumptions that market participants would use in pricing the asset or liability (including assumptions about risk) in a principal market.</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carrying amounts of working capital balances approximate their fair values due to the short maturity of these items. Unless otherwise noted, it is management’s opinion that the Company is not exposed to significant interest rate, currency, or credit risks arising from its financial instruments. The fair value of debt approximates its carrying value based on prevailing market rates.</w:t>
      </w:r>
    </w:p>
    <w:p>
      <w:pPr>
        <w:spacing w:after="0" w:line="1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fair values of the Assumed Common Stock Warrants which are publicly traded are level 1 inputs. The fair value of the Assumed Common Stock Warrants which are not publicly traded, cash equivalents, marketable securities, and foreign currency derivative contracts are level 2 inputs as the Company uses quoted market prices or alternative pricing sources and models utilizing observable market inputs. The earnout liability, derivative liability and redeemable convertible preferred stock warrant liability were estimated using Level 3 inputs.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Receivables</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Other receivables consist of amounts due from foreign governmental entities related to the Canadian harmonized sales tax (“HST”) and goods and services tax (“GST”) for goods and services transacted in Canada, and amounts due from cash collateral held by others for foreign currency derivative contracts.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AgriScience Grant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January 2019, the Company entered into an agreement in which it will participate in the AgriScience Program Cluster Component grant through the Canadian Agricultural Partnership, whereby the Company will receive reimbursements for eligible expenditures up to approximately $1.8 million (in Canadian dollars) through March 2023. Grants are received through reimbursements from the Canadian government and recognized, upon completion of scope of services on a quarterly basis. Grants are recognized as a reduction of property, plant, and equipment or expense based on the nature of the cost the grant is reimbursing. During the three months ended September 30, 2022 and 2021 the Company received $0.4 million and zero, respectively, and during the nine months ended September 30, 2022 and 2021 the Company received $0.4 million and $0.1 million, respectively in grants, recorded in other income.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Property, plant, and equipment are recorded at cost and depreciated or amortized using the straight-line method over the estimated useful lives of the respective assets. Existing useful lives range from 3 to 5 years. Leasehold improvements are amortized using the straight-line method over the shorter of their estimated useful lives or the lease term. Major additions and improvements are capitalized, while replacements, repairs, and maintenance that do not extend the life of an asset are charged to operations. Upon retirement or sale, the cost of assets disposed of and the related accumulated depreciation or amortization are removed from the accounts. Costs incurred to acquire, construct or install property, plant, and equipment during the construction stage of a capital project and costs capitalized in conjunction with major improvements that have not yet been placed in service are recorded as construction in progress, and accordingly are not currently being depreciated. The Company capitalizes interest cost incurred on funds used to construct property, plant and equipment. The estimated useful lives of assets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38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3 years</w:t>
            </w:r>
          </w:p>
        </w:tc>
      </w:tr>
      <w:tr>
        <w:trPr>
          <w:trHeight w:val="25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w:t>
            </w:r>
          </w:p>
        </w:tc>
        <w:tc>
          <w:tcPr>
            <w:tcW w:w="53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5 years</w:t>
            </w:r>
          </w:p>
        </w:tc>
      </w:tr>
      <w:tr>
        <w:trPr>
          <w:trHeight w:val="26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38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3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1-5 years</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Intangible assets are recorded at cost and are amortized using the straight-line method over the estimated useful lives of the respective assets, ranging from 7 to 15 years. The cost of servicing the Company’s patents is expensed as incurred. Upon retirement or sale, the cost of intangible assets is disposed of and the related accumulated amortization is removed from the accounts.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The Company reviews its long-lived assets, including property, equipment, software and intangibles, for impairment whenever events or changes in circumstances indicate that the carrying amounts of the assets may not be fully recoverable. If indicators of impairment exist, management identifies the asset group which includes the potentially impaired long-lived asset, at the lowest level at which there are separate, identifiable cash flows. If the total of the expected undiscounted future net cash flows for the asset group is less than the carrying amount of the asset, a loss is recognized for the difference between the fair value and carrying amount of the asset. For the nine month periods ended September 30, 2022 and 2021, no impairment was identified.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Loans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Government loans are classified as a noncurrent liability and recorded at amortized cost. Forgiveness of the balances due is recorded through earnings and occurs when there is confirmation from the governmental authority that the Company has complied with the conditions for forgiveness attached to the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costs incurred in connection with the issuance of debt obligations, principally financing and legal costs, are capitalized. These costs are accreted over the term of the debt using the interest method. During the three and nine months ended September 30, 2022, accretion expense for debt issuance cost were zero. During the three and nine months ended September 30, 2021, accretion expense for debt issuance cost were zero and $2.2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Warrants Liability</w:t>
      </w:r>
    </w:p>
    <w:p>
      <w:pPr>
        <w:spacing w:after="0" w:line="12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Free-standing warrants issued by Legacy Origin for the purchase of shares of its convertible preferred stock were classified as liabilities on the accompanying balance sheets at fair value using an Option-Pricing Model. Prior to the Business Combination, the liability recorded was adjusted for changes in the fair value at each reporting date and recorded as interest expense in the accompanying unaudited Condensed Consolidated Statements of Operations and Comprehensive Income (Loss). As a result of the Business Combination, the Legacy Origin warrants each converted into a warrant to purchase shares of the Company’s Common Stock converted at the Exchange Ratio. The fair value of the warrants upon consummation of the Business Combination (see Note 4), is adjusted based on the price of the underlying common stock, was reclassified to additional paid-in capital.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Common Stock Warrants Liability</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assumed 24,149,960 public warrants (the “Public Warrants”) and 11,326,667 private placement warrants (the “Private Placement Warrants”, and the Public Warrants together with the Private Placement Warrants, the “Assumed Common Stock Warrants”) upon the Business Combination, all of which were issued in connection with Artius’ initial public offering and entitle each holder to purchase one share of Class A common stock at an exercise price of at $11.50 per share. As of September 30, 2022, 24,149,960 Public Warrants and 11,326,667 Private Placement Warrants are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1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Assumed Common Stock Warrants under ASC 815-40, </w:t>
      </w:r>
      <w:r>
        <w:rPr>
          <w:rFonts w:ascii="Times New Roman" w:cs="Times New Roman" w:eastAsia="Times New Roman" w:hAnsi="Times New Roman"/>
          <w:sz w:val="18"/>
          <w:szCs w:val="18"/>
          <w:i w:val="1"/>
          <w:iCs w:val="1"/>
          <w:color w:val="auto"/>
        </w:rPr>
        <w:t>Derivatives and Hedging-Contracts in Entity’s Own Equity (“ASC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815-40”)</w:t>
      </w:r>
      <w:r>
        <w:rPr>
          <w:rFonts w:ascii="Times New Roman" w:cs="Times New Roman" w:eastAsia="Times New Roman" w:hAnsi="Times New Roman"/>
          <w:sz w:val="18"/>
          <w:szCs w:val="18"/>
          <w:color w:val="auto"/>
        </w:rPr>
        <w:t>, and concluded they do not meet the criteria to be classified in stockholders’ equity. Specifically, the exercise of the Assumed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may be settled in cash upon the occurrence of a tender offer or exchange that involves 50% or more of our Class A stockholders. Because not all of the voting stockholders need to participate in such tender offer or exchange to trigger the potential cash settlement and the Company does not control the occurrence of such an event, the Company concluded that the Assumed Common Stock Warrants do not meet the conditions to be classified in equity. Since the Assumed Common Stock Warrants meet the definition of a derivative under ASC 815, the Company recorded these warrants as liabilities on the Condensed Consolidated Balance Sheets at fair value, with subsequent changes in their respective fair values recognized in the change in fair value of Assumed Common Stock Warrant liabilities within the Condensed Consolidated Statements of Operations and Comprehensive Income (Loss) at each reporting date. The Public Warrants were publicly traded and thus had an observable market price to estimate fair value, and the Private Placement Warrants were effectively valued similar to the Public Warrants, as described in Note 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recorded an earnout liability related to future contingent equity shares related to the Business Combination (Note 13). The Company recorded these instruments as liabilities on the Condensed Consolidated Balance Sheets at fair value, with subsequent changes in their respective fair values recognized in earnings at each reporting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leases for office space and equipment, some of which have escalating rentals during the initial lease term and during subsequent optional renewal periods. The Company accounts for its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recognizes a right-of-use asset and lease liability for leases based on the net present value of future minimum lease payments. Lease expense is recognized on a straight-line basis over the non-cancelable lease term and renewal periods that are considered reasonably certain.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related to research and development are expensed as incurred.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issued common stock awards under three equity incentive plans. Origin measures stock options and other stock-based awards granted to employees, directors and other service providers based on their fair value on the date of grant and recognizes compensation expenses of those awards over the requisite service period, which is generally the vesting period of the respective award. For awards with performance conditions, compensation is recorded once there is sufficient objective evidence the performance conditions are considered probable of being met. Origin applies the straight-line method of expense recognition to all awards with only service-based vesting conditions. Origin estimates the fair value of each stock option grant on the date of grant using the Black-Scholes option-pricing model and the grant date closing stock price for RSU awards and performance awards. The Black-Scholes option-pricing model requires the use of highly subjective assumptions including:</w:t>
      </w:r>
    </w:p>
    <w:p>
      <w:pPr>
        <w:spacing w:after="0" w:line="79" w:lineRule="exact"/>
        <w:rPr>
          <w:sz w:val="20"/>
          <w:szCs w:val="20"/>
          <w:color w:val="auto"/>
        </w:rPr>
      </w:pPr>
    </w:p>
    <w:p>
      <w:pPr>
        <w:jc w:val="both"/>
        <w:ind w:left="980" w:right="260" w:hanging="324"/>
        <w:spacing w:after="0" w:line="267"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of the options is based on the simplified method, which takes into consideration the grant’s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and vesting period and assumes that all options will be exercised between the vesting date and the contractual term of the option which averages an award’s vesting term and its contractual term.</w:t>
      </w:r>
    </w:p>
    <w:p>
      <w:pPr>
        <w:spacing w:after="0" w:line="105" w:lineRule="exact"/>
        <w:rPr>
          <w:rFonts w:ascii="Times New Roman" w:cs="Times New Roman" w:eastAsia="Times New Roman" w:hAnsi="Times New Roman"/>
          <w:sz w:val="18"/>
          <w:szCs w:val="18"/>
          <w:color w:val="auto"/>
        </w:rPr>
      </w:pPr>
    </w:p>
    <w:p>
      <w:pPr>
        <w:ind w:left="980" w:right="160" w:hanging="324"/>
        <w:spacing w:after="0" w:line="236"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uses the trading history of various companies in its industry sector in determining an estimated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w:t>
      </w:r>
    </w:p>
    <w:p>
      <w:pPr>
        <w:spacing w:after="0" w:line="128" w:lineRule="exact"/>
        <w:rPr>
          <w:rFonts w:ascii="Arial" w:cs="Arial" w:eastAsia="Arial" w:hAnsi="Arial"/>
          <w:sz w:val="22"/>
          <w:szCs w:val="22"/>
          <w:color w:val="auto"/>
        </w:rPr>
      </w:pPr>
    </w:p>
    <w:p>
      <w:pPr>
        <w:ind w:left="980" w:right="120" w:hanging="324"/>
        <w:spacing w:after="0" w:line="236"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Company has not declared common stock dividends and does not anticipate declaring any common stock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foreseeable future.</w:t>
      </w:r>
    </w:p>
    <w:p>
      <w:pPr>
        <w:spacing w:after="0" w:line="128" w:lineRule="exact"/>
        <w:rPr>
          <w:rFonts w:ascii="Arial" w:cs="Arial" w:eastAsia="Arial" w:hAnsi="Arial"/>
          <w:sz w:val="22"/>
          <w:szCs w:val="22"/>
          <w:color w:val="auto"/>
        </w:rPr>
      </w:pPr>
    </w:p>
    <w:p>
      <w:pPr>
        <w:ind w:left="980" w:right="160" w:hanging="324"/>
        <w:spacing w:after="0" w:line="246"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Forfeiture </w:t>
      </w:r>
      <w:r>
        <w:rPr>
          <w:rFonts w:ascii="Times New Roman" w:cs="Times New Roman" w:eastAsia="Times New Roman" w:hAnsi="Times New Roman"/>
          <w:sz w:val="18"/>
          <w:szCs w:val="18"/>
          <w:color w:val="auto"/>
        </w:rPr>
        <w:t>– The Company estimates forfeitures based on historical activity and considers voluntary and involuntary termination behavior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analysis of actual historical option forfeitures, netting the estimated expense by the derived forfeiture rate.</w:t>
      </w:r>
    </w:p>
    <w:p>
      <w:pPr>
        <w:spacing w:after="0" w:line="122" w:lineRule="exact"/>
        <w:rPr>
          <w:rFonts w:ascii="Arial" w:cs="Arial" w:eastAsia="Arial" w:hAnsi="Arial"/>
          <w:sz w:val="22"/>
          <w:szCs w:val="22"/>
          <w:color w:val="auto"/>
        </w:rPr>
      </w:pPr>
    </w:p>
    <w:p>
      <w:pPr>
        <w:ind w:left="980" w:right="180" w:hanging="324"/>
        <w:spacing w:after="0" w:line="236" w:lineRule="auto"/>
        <w:tabs>
          <w:tab w:leader="none" w:pos="97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Company bases the risk-free interest rate on the implied yield currently available on U.S. Treasury zero-coupon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 with the same or substantially equivalent remaining term.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income taxes are determined using the asset and liability method. Under this method, deferred income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recorded when the expected recognition of a deferred income tax asset is considered to be unlikely.</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as a component of income tax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Translation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wholly-owned Canadian subsidiaries is the Canadian dollar, whereby their assets and liabilities are translated at period-end exchange rates except for nonmonetary capital transactions and balances, which are translated at historical rates. All income and expense amounts of the Company are translated at average exchange rates for the respective period. Translation gains and losses are not included in determining net loss but are accumulated in a separate component of stockholders’ equity. Foreign currency transaction gains and losses are included in the determination of net loss in the period in which they occur. These amounts are included in other income, net, of the unaudited Condensed Consolidated Statements of Operations and Comprehensive Income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comprehensive income or loss consists of net income or loss and other comprehensive income (loss). Foreign currency translation gains or losses and unrealized gains or losses on available-for-sale marketable debt securities are included in the Company’s other comprehensive income (loss).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Per Share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Basic net income per common share is calculated by dividing the net income attributable to common stockholders by the weighted-average number of common shares outstanding during the period, without consideration of potentially dilutive securities. Diluted net income per share is computed by dividing the net income attributable to common stockholders by the weighted-average number of common stock and potentially dilutive securities outstanding for the period. For the purposes of the diluted net income per share calculation, the convertible preferred stock, common stock options, RSU awards, performance stock awards, convertible preferred stock warrants, common stock warrants, convertible notes, earnout shares, and Sponsor Vesting Shares (as defined below) are considered to be potentially dilutive securities. Basic and diluted net income per share attributable to common stockholders is presented in conformity with the two-class method required for participating securities. The two-class method determines net income per share for each class of common and participating securities according to dividends declared or accumulated and participation rights in undistributed earnings. All series of the Company’s convertible preferred stock are considered to be participating securities because, in addition to cumulative dividends, all holders are entitled to receive a non-cumulative dividend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in the event that a dividend is paid on the common stock. The two-class method requires income or loss available to common stockholders for the period to be allocated between common and participating securities based upon their respective rights to share in undistributed earnings as if all income or loss for the period had been distributed. The holders of the convertible preferred stock do not have a contractual obligation to share in the Company’s losses. Accordingly, the Company’s net income is attributed entirely to common stockholders. For the periods presented that the Company has reported a net loss, diluted net loss per common share is the same as basic net loss per common share for those periods.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with the report classifications of the nine months ended September 30, 2022, noting the Company has reflected the Reverse Recapitalization pursuant to the Business Combination as of and for the nine months ended September 30, 2021, within the unaudited condensed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segment. Operating segments are identified as components of an enterprise about which separate discrete financial information is available for evaluation by the chief operating decision maker (“CODM”) in making decisions regarding resource allocation and assessing performance. The Company has determined that its Co-Chief Executive Officers are the CODM. To date, the Company’s CODM has made such decisions and assessed performance at the Company level.</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$144.7 million and $60.6 million, respectively, of assets located outside of the United States.</w:t>
      </w:r>
    </w:p>
    <w:p>
      <w:pPr>
        <w:spacing w:after="0" w:line="266"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June 25, 2021, Artius and Micromidas, Inc. (now known as Origin Materials Operating Inc., “Legacy Origin”) completed the Business Combination pursuant to the Merger Agreement with Legacy Origin surviving the merger as a wholly owned subsidiary of Artius, which became Origin Materials, Inc. Cash proceeds from the Business Combination totaled approximately $467.5 million, which included funds held in Artius’s trust account and the completion of the concurrent PIPE and Backstop Financing.</w:t>
      </w:r>
    </w:p>
    <w:p>
      <w:pPr>
        <w:spacing w:after="0" w:line="1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accordance with the terms and subject to the conditions of the Merger Agreement, at the effective time of the Merger, (i) all shares of Legacy Origin’s Series A, Series B, and Series C Preferred Stock, and Common Stock (collectively, “Legacy Origin Stock”) issued and outstanding immediately prior to the effective time of the Merger were converted into the right to receive their pro rata portion of shares of Company Common Stock (the “Common Stock”) issued as Merger consideration; (ii) holders of Legacy Origin’s Convertible Notes Payable, plus accrued interest also received shares of Company Common Stock; (iii) each option exercisable for Legacy Origin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Additionally, as part of the consideration transferred, stockholders of Legacy Origin and Artius were given the right to additional shares in the Company. These shares vest to the holder upon the share price of the Company reaching certain targets over a future period (“Earnout Shares”, see Note 13).</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18" w:name="page19"/>
    <w:bookmarkEnd w:id="18"/>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accounted for the Business Combination as a reverse recapitalization, which is the equivalent of Legacy Origin issuing stock for the net assets of Artius, accompanied by a recapitalization, with Artius treated as the acquired company for accounting purposes. The determination of Artius as the “acquired” company for accounting purposes was primarily based on the fact that subsequent to the Business Combination, Legacy Origin will comprise all of the ongoing operations of the combined entity, a majority of the governing body of the combined company and Legacy Origin’s senior management will comprise all of the senior management of the combined company. The net assets of Artius were stated at historical cost with no goodwill or other intangible assets recorded. Reported results from operations included herein prior to the Business Combination are those of Legacy Origin. The shares and corresponding capital amounts and loss per share related to Legacy Origin’s outstanding convertible preferred stock and Common Stock prior to the Business Combination have been retroactively restated to reflect the conversion ratio established in the Merger Agreement (1.00 Legacy Origin share for approximately 2.11 shares of the Company, the “Exchange Ratio”).</w:t>
      </w:r>
    </w:p>
    <w:p>
      <w:pPr>
        <w:spacing w:after="0" w:line="29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(“ASU”) 2020-06, </w:t>
      </w:r>
      <w:r>
        <w:rPr>
          <w:rFonts w:ascii="Times New Roman" w:cs="Times New Roman" w:eastAsia="Times New Roman" w:hAnsi="Times New Roman"/>
          <w:sz w:val="18"/>
          <w:szCs w:val="18"/>
          <w:i w:val="1"/>
          <w:iCs w:val="1"/>
          <w:color w:val="auto"/>
        </w:rPr>
        <w:t>Accounting for Convertible Instruments and Contracts in an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which simplifies the accounting for certain financial instruments with characteristics of liabilities and equity, including convertible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contracts in an entity’s own equity. The guidance is effective for fiscal years beginning on or after December 15, 2021, with early adoption permitted, but no earlier than fiscal years beginning after December 15, 2020. The Company adopted the new standard as of January 1, 2022. The adoption of the standard had no material impact.</w:t>
      </w:r>
    </w:p>
    <w:p>
      <w:pPr>
        <w:spacing w:after="0" w:line="18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as amended and supplemented by subsequent ASUs (collectively, “ASU 2020-04”), which provides practical expedients for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modifications and certain hedging relationships associated with the transition from reference rates that are expected to be discontinued. This guidance is applicable for borrowing instruments, which use LIBOR as a reference rate, and is effective immediately, but is only available through December 31, 2022. The Company adopted the new standard as of January 1, 2022. The adoption of the standard had no material impact on the Company’s financial results.</w:t>
      </w:r>
    </w:p>
    <w:p>
      <w:pPr>
        <w:spacing w:after="0" w:line="1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The FASB issued this update to increase the transparency of government assistance including the disclosure of (1) the types of assistance, (2) an entity’s accounting for the assistance, and (3) the effect of the assistance on an entity’s financial statements. The main provisions of this update require the following disclosures about transactions with a government that are accounted for by applying a grant or contribution accounting model by analogy:</w:t>
      </w:r>
    </w:p>
    <w:p>
      <w:pPr>
        <w:spacing w:after="0" w:line="74" w:lineRule="exact"/>
        <w:rPr>
          <w:sz w:val="20"/>
          <w:szCs w:val="20"/>
          <w:color w:val="auto"/>
        </w:rPr>
      </w:pPr>
    </w:p>
    <w:p>
      <w:pPr>
        <w:ind w:left="540" w:hanging="208"/>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nature of the transactions and the related accounting policy used to account for the transactions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line items on the balance sheet and income statement that are affected by the transactions, and the amounts applicable to each financial statement line item</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Significant terms and conditions of the transactions, including commitments and contingencies.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amendments in this update are effective for the Company in the annual period beginning after December 15, 2021. Early application of the amendments is permitted. The Company has elected to adopt on January 1, 2022. The adoption of the standard had no impact on the Company’s financial results. See Note 3 and Note 14 for required disclosures.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This update improves the accounting for acquired revenue contracts with customers in a business combination by addressing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diversity in practice and inconsistency related to (1) recognition of an acquired contract liability; and (2) payment terms and their effect on subsequent revenue recognized by the acquirer. Specifically, the update requires that an entity (acquirer) recognize and measure contract assets and contract liabilities acquired in a business combination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amendments in this update are effective for the Company in the fiscal year beginning after December 15, 2022, including interim periods within those fiscal years. Early adoption of the amendments is permitted, including adoption in an interim period. The Company does not believe the adoption of this standard will have a material effect on its consolidated financial statements.</w:t>
      </w:r>
    </w:p>
    <w:p>
      <w:pPr>
        <w:spacing w:after="0" w:line="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March 2022, the FASB issued ASU 2022-01, </w:t>
      </w:r>
      <w:r>
        <w:rPr>
          <w:rFonts w:ascii="Times New Roman" w:cs="Times New Roman" w:eastAsia="Times New Roman" w:hAnsi="Times New Roman"/>
          <w:sz w:val="18"/>
          <w:szCs w:val="18"/>
          <w:i w:val="1"/>
          <w:iCs w:val="1"/>
          <w:color w:val="auto"/>
        </w:rPr>
        <w:t>Derivatives and Hedging ("Topic 815") ("ASU 2022-01").</w:t>
      </w:r>
      <w:r>
        <w:rPr>
          <w:rFonts w:ascii="Times New Roman" w:cs="Times New Roman" w:eastAsia="Times New Roman" w:hAnsi="Times New Roman"/>
          <w:sz w:val="18"/>
          <w:szCs w:val="18"/>
          <w:color w:val="auto"/>
        </w:rPr>
        <w:t xml:space="preserve"> This update clarifies the guidance in Topic 815 on fair value hedge accounting of interest rate risk for portfolios and financial assets. Among other things, the amended guidance established the “last-of-layer” method for making the fair value hedge accounting for these portfolios more accessible and renamed that method the “portfolio layer” method. ASU 2022-01 is effective January 1, 2023 and is not expected to have a significant impact on the Company's consolidated financial statements.</w:t>
      </w:r>
    </w:p>
    <w:p>
      <w:pPr>
        <w:spacing w:after="0" w:line="286"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measurements on a recurring basis and the level of inputs used for such measurements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7"/>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rPr>
              <w:t>Fair Value as of September 30, 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103,470</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258,733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258,733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260,559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common stock warrants (Public)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common stock warrants (Private Placement)</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7"/>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rPr>
              <w:t>Fair Value as of December 31, 2021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397,660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common stock warrants (Public)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common stock warrants (Private Placement)</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5"/>
        </w:trPr>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5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ind w:right="5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redeemable convertible preferred stock warrant liability and embedded components of the stockholder convertible notes payable, which represents a recurring measurement that is classified within Level 3 of the fair value hierarchy wherein fair value is estimated using significant unobservable inputs: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Redeemable Convertible Preferred Stock Warrants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warrants liability balance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040" w:type="dxa"/>
            <w:vAlign w:val="bottom"/>
          </w:tcPr>
          <w:p>
            <w:pPr>
              <w:spacing w:after="0"/>
              <w:rPr>
                <w:sz w:val="21"/>
                <w:szCs w:val="21"/>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35,908</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to APIC upon recapitalization</w:t>
            </w:r>
          </w:p>
        </w:tc>
        <w:tc>
          <w:tcPr>
            <w:tcW w:w="10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(55,141)</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warrant liability balance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Embedded Derivative - Stockholder Convertible Notes Payable</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derivative liability balance</w:t>
            </w: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vMerge w:val="continue"/>
          </w:tcPr>
          <w:p>
            <w:pPr>
              <w:spacing w:after="0"/>
              <w:rPr>
                <w:sz w:val="21"/>
                <w:szCs w:val="21"/>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4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derivative liability</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derivative liability balance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performs routine procedures such as comparing prices obtained from independent sources to ensure that appropriate fair values are recorded. The marketable securities are categorized as Level 2 instruments as the estimated fair value was determined based on the estimated or actual bids and offers of the marketable securities in an over-the-counter market on the last business day of the period. All of the Company’s cash, cash equivalents, restricted cash, marketable securities and foreign currency derivative contracts are classified within Level 1 or Level 2 because the Company’s cash, cash equivalents, restricted cash, marketable securities and foreign currency derivative contracts are valued using quoted market prices or alternative pricing sources and models utilizing observable market inputs. Because the transfer of Private Placement Warrants to anyone outside of certain permitted transferees of Artius Acquisition Partners LLC (the “Sponsor”)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value of the redeemable convertible preferred stock warrants liability and the derivative liability are classified as Level 3 measurements under the fair value hierarchy, as these liabilities have been valued based on significant inputs not observable in the market.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carrying values of cash and cash equivalents, accounts payable and accrued liabilities approximate their respective fair values due to their short-term nature.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marketable securities that are measured at fair value on a recurring basis and are categorized using the fair value hierarchy. Amortized cost net of unrealized gain (loss) is equal to fair value as of September 30, 2022 and December 31, 2021. The following table summarized the marketable securities by major security type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156,844</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79,906</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government and agency securities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Municipal/provincial bonds and other</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44"/>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258,733</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273,314</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96,704</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government and agency securities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Municipal/provincial bonds and other</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43"/>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399,149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397,437</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 purchases and sales</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399,170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397,458</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realized gains and losses and interest income are included in other income on the unaudited Condensed Consolidated Statements of Operations and Comprehensive Income (Loss).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we sold marketable securities for proceeds of $2,587.6 million and realized a gain of $1.3 million as a result of those sales. We regularly review our available-for-sale marketable securities in an unrealized loss position and evaluate the current expected credit loss by considering factors such as historical experience, market data, issuer-specific factors, and current economic conditions. The aggregate fair value of the marketable securities in unrealized loss position was $279.3 million and $346.3 million as of September 30, 2022 and December 31, 2021, respectively. The unrealized losses were attributable to changes in interest rates that impacted the value of the investments, and not related to increased credit risk. Accordingly, we have not recorded an allowance for credit losses associated with these investments.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investments classified as marketable securities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Mature within one</w:t>
            </w:r>
          </w:p>
        </w:tc>
        <w:tc>
          <w:tcPr>
            <w:tcW w:w="10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Mature after one year</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50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3"/>
                <w:szCs w:val="13"/>
                <w:color w:val="auto"/>
              </w:rPr>
            </w:pPr>
          </w:p>
        </w:tc>
        <w:tc>
          <w:tcPr>
            <w:tcW w:w="1320" w:type="dxa"/>
            <w:vAlign w:val="bottom"/>
          </w:tcPr>
          <w:p>
            <w:pPr>
              <w:jc w:val="center"/>
              <w:ind w:right="54"/>
              <w:spacing w:after="0" w:line="160" w:lineRule="exact"/>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through two years</w:t>
            </w:r>
          </w:p>
        </w:tc>
        <w:tc>
          <w:tcPr>
            <w:tcW w:w="15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Mature over two years</w:t>
            </w:r>
          </w:p>
        </w:tc>
        <w:tc>
          <w:tcPr>
            <w:tcW w:w="260" w:type="dxa"/>
            <w:vAlign w:val="bottom"/>
          </w:tcPr>
          <w:p>
            <w:pPr>
              <w:spacing w:after="0"/>
              <w:rPr>
                <w:sz w:val="13"/>
                <w:szCs w:val="13"/>
                <w:color w:val="auto"/>
              </w:rPr>
            </w:pPr>
          </w:p>
        </w:tc>
        <w:tc>
          <w:tcPr>
            <w:tcW w:w="1220" w:type="dxa"/>
            <w:vAlign w:val="bottom"/>
          </w:tcPr>
          <w:p>
            <w:pPr>
              <w:jc w:val="right"/>
              <w:ind w:right="332"/>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156,844</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79,905</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government and agency securities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Municipal/provincial bonds and other</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43"/>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80,106</w:t>
            </w:r>
          </w:p>
        </w:tc>
        <w:tc>
          <w:tcPr>
            <w:tcW w:w="8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91,743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258,733</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r>
        <w:trPr>
          <w:trHeight w:val="40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Mature within one</w:t>
            </w:r>
          </w:p>
        </w:tc>
        <w:tc>
          <w:tcPr>
            <w:tcW w:w="10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Mature after one year</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50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3"/>
                <w:szCs w:val="13"/>
                <w:color w:val="auto"/>
              </w:rPr>
            </w:pPr>
          </w:p>
        </w:tc>
        <w:tc>
          <w:tcPr>
            <w:tcW w:w="1320" w:type="dxa"/>
            <w:vAlign w:val="bottom"/>
          </w:tcPr>
          <w:p>
            <w:pPr>
              <w:jc w:val="center"/>
              <w:ind w:right="54"/>
              <w:spacing w:after="0" w:line="160" w:lineRule="exact"/>
              <w:rPr>
                <w:sz w:val="20"/>
                <w:szCs w:val="20"/>
                <w:color w:val="auto"/>
              </w:rPr>
            </w:pPr>
            <w:r>
              <w:rPr>
                <w:rFonts w:ascii="Times New Roman" w:cs="Times New Roman" w:eastAsia="Times New Roman" w:hAnsi="Times New Roman"/>
                <w:sz w:val="14"/>
                <w:szCs w:val="14"/>
                <w:b w:val="1"/>
                <w:bCs w:val="1"/>
                <w:color w:val="auto"/>
                <w:w w:val="98"/>
              </w:rPr>
              <w:t>year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through two years</w:t>
            </w:r>
          </w:p>
        </w:tc>
        <w:tc>
          <w:tcPr>
            <w:tcW w:w="15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Mature over two years</w:t>
            </w:r>
          </w:p>
        </w:tc>
        <w:tc>
          <w:tcPr>
            <w:tcW w:w="260" w:type="dxa"/>
            <w:vAlign w:val="bottom"/>
          </w:tcPr>
          <w:p>
            <w:pPr>
              <w:spacing w:after="0"/>
              <w:rPr>
                <w:sz w:val="13"/>
                <w:szCs w:val="13"/>
                <w:color w:val="auto"/>
              </w:rPr>
            </w:pPr>
          </w:p>
        </w:tc>
        <w:tc>
          <w:tcPr>
            <w:tcW w:w="1220" w:type="dxa"/>
            <w:vAlign w:val="bottom"/>
          </w:tcPr>
          <w:p>
            <w:pPr>
              <w:jc w:val="right"/>
              <w:ind w:right="332"/>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273,314</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96,704</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w:t>
            </w:r>
          </w:p>
        </w:tc>
      </w:tr>
      <w:tr>
        <w:trPr>
          <w:trHeight w:val="250"/>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government and agency securities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Municipal/provincial bonds and other</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43"/>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146,197</w:t>
            </w:r>
          </w:p>
        </w:tc>
        <w:tc>
          <w:tcPr>
            <w:tcW w:w="8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397,437</w:t>
            </w:r>
          </w:p>
        </w:tc>
      </w:tr>
      <w:tr>
        <w:trPr>
          <w:trHeight w:val="263"/>
        </w:trPr>
        <w:tc>
          <w:tcPr>
            <w:tcW w:w="20" w:type="dxa"/>
            <w:vAlign w:val="bottom"/>
            <w:shd w:val="clear" w:color="auto" w:fill="CCEEFF"/>
          </w:tcPr>
          <w:p>
            <w:pPr>
              <w:spacing w:after="0"/>
              <w:rPr>
                <w:sz w:val="22"/>
                <w:szCs w:val="22"/>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 purchases and sales</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146,197</w:t>
            </w:r>
          </w:p>
        </w:tc>
        <w:tc>
          <w:tcPr>
            <w:tcW w:w="8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397,458</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r>
        <w:trPr>
          <w:trHeight w:val="91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Free-standing warrants issued by Legacy Origin for the purchase of shares of its convertible preferred stock were classified as liabilities on the accompanying balance sheets at fair value using an Option-Pricing Model (“OPM”). Prior to the Business Combination, the liability recorded was adjusted for changes in the fair value at each reporting date and recorded as interest expense in the accompanying Consolidated Statements of Operations and Comprehensive Loss. As a result of the Business Combination, the Legacy Origin warrants each converted into common stock of Origin at the Exchange Ratio defined in the Merger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Asset and Liability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Beginning in the year ended December 31, 2021, the Company entered into foreign currency derivative contracts with financial institutions to reduce foreign exchange risk related to marketable securities. Foreign currency derivative contracts are marked-to-market at the end of each reporting period with gains and losses recognized as other income (expense). The Company recognized a net gain of $1.1 million and $1.7 million during the three and nine months ended September 30, 2022, respectively, and a net loss of zero and $1.4 million during the three and nine months ended September 30, 2021, respectively, on the fair value adjustment of the foreign currency derivative contracts.</w:t>
      </w:r>
    </w:p>
    <w:p>
      <w:pPr>
        <w:spacing w:after="0" w:line="287"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Pilot plant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55,026</w:t>
            </w:r>
          </w:p>
        </w:tc>
      </w:tr>
      <w:tr>
        <w:trPr>
          <w:trHeight w:val="256"/>
        </w:trPr>
        <w:tc>
          <w:tcPr>
            <w:tcW w:w="8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64,725</w:t>
            </w:r>
          </w:p>
        </w:tc>
      </w:tr>
      <w:tr>
        <w:trPr>
          <w:trHeight w:val="25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and 2021, depreciation expense totaled $0.2 million and $0.1 million, respectively. For the nine months ended September 30, 2022 and 2021, depreciation expense totaled $0.5 million and $0.3 million, respectively.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September 30, 2022 and December 31, 2021, the Company capitalized $1.0 million and $0.9 million, respectively, of interest cost into Origin 1. At September 30, 2022, the Company capitalized $0.6 million of stock-based compensation related to employees whose costs are necessarily incurred to bring the asset to its intended use. At September 30, 2022 and December 31, 2021 a cumulative translation adjustment of $4.0 million and $(0.1) million, respectively, is included in total property, plant, and equipment as a result of foreign currency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6"/>
              </w:rPr>
              <w:t>400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6"/>
              </w:rPr>
              <w:t>432</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835"/>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left="835"/>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4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6"/>
              </w:rPr>
              <w:t>168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w w:val="96"/>
              </w:rPr>
              <w:t>215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9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0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ind w:right="280"/>
        <w:spacing w:after="0" w:line="282" w:lineRule="auto"/>
        <w:rPr>
          <w:sz w:val="20"/>
          <w:szCs w:val="20"/>
          <w:color w:val="auto"/>
        </w:rPr>
      </w:pPr>
      <w:r>
        <w:rPr>
          <w:rFonts w:ascii="Times New Roman" w:cs="Times New Roman" w:eastAsia="Times New Roman" w:hAnsi="Times New Roman"/>
          <w:sz w:val="18"/>
          <w:szCs w:val="18"/>
          <w:color w:val="auto"/>
        </w:rPr>
        <w:t>The weighted average useful life of the patents was 4.7 years. For the three and nine months ended September 30, 2022 and 2021, amortization expense was $0.0 million.</w:t>
      </w:r>
    </w:p>
    <w:p>
      <w:pPr>
        <w:spacing w:after="0" w:line="266"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Consortium Agreement</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has entered into consortium agreements with counterparties to collaborate on development of a process to commercialize bio-based, decarbonizing materials for application on an industrial scale at a competitive price. The agreements expire once performance of the research and development program has been completed. At the time the consortium agreements were entered into, several of the counterparties were related parties (Note 11).</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2020, an additional counterparty, that is an unrelated party, was added to the consortium agreement. Under the consortium agreement which was recorded as other income, net in the unaudited Condensed Consolidated Statements of Operations and Comprehensive Income (Loss), the Company received zero during three months ended September 30, 2022 and 2021 and zero and $0.5 million during the nine months ended September 30, 2022 and 2021, respectively.</w:t>
      </w:r>
    </w:p>
    <w:p>
      <w:pPr>
        <w:spacing w:after="0" w:line="284"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PPP Loan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April 2020, the Company executed a promissory note (the “PPP Note”) evidencing an unsecured loan in the amount of $0.9 million under the Paycheck Protection Program (the “PPP Loan”). The Paycheck Protection Program (or “PPP”) was established under the Coronavirus Aid, Relief, and Economic Security Act (the “CARES Act”) and is administered by the U.S. Small Business Administration (“SBA”). The PPP Loan has been made through First Republic Bank (the “Lender”).</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PPP Loan had a two-year term and bore interest at a rate of 1.00% per annum, accruing upon funding. Unless the PPP Loan is forgiven, the Company was required to make monthly payments of principal and interest to the Lender. The Company did not seek forgiveness of the PPP loan.</w:t>
      </w:r>
    </w:p>
    <w:p>
      <w:pPr>
        <w:spacing w:after="0" w:line="162"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The PPP Note contained customary events of default relating to, among other things, payment defaults, providing materially false and misleading representations to the SBA or Lender, or breaching the terms of the PPP Loan documents. The occurrence of an event of default may result in the immediate repayment of all amounts outstanding, collection of all amounts owing from the Company, or filing suit and obtaining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repaid the PPP Loan in full during the year ended December 31, 2021.</w:t>
      </w:r>
    </w:p>
    <w:p>
      <w:pPr>
        <w:spacing w:after="0" w:line="329"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Consortium Agreements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2016, the Company entered into a consortium agreement (Note 9) with two Legacy Origin Series B preferred stock investors to collaborate on development of a process to commercialize bio-based, decarbonizing materials for application on an industrial scale at a competitive price. Under the consortium agreement, the Company received $0.5 million. The agreement expires once performance of the research and development program has been completed.</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2018, the agreement was amended, whereby a Legacy Origin Series C preferred stock investor (the “Legacy Origin Series C Investor”, and collectively with the two Legacy Origin Series B investors, the “Legacy Origin Investors”) was added to the agreement and committed to invest $1.5 million of research and development in the consortium. As of September 30, 2022, the Legacy Origin Series C Investor had not invested any funds in the consortium.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maintains eight separate offtake supply agreements including five with Legacy Origin stockholders or affiliates of Legacy Origin stockholders (the “Offtake Agreements”). Two of the eight offtake agreements are with the same customer and pertain to supply of product from Origin 1 and Origin 2, respectively. Pursuant to the Offtake Agreements, the Company will construct manufacturing plants with specific capacity and product quality requirements within certain timeframes for the manufacture of product for sale to the counterparties to the agreements, and the counterparties will make minimum annual purchases at a set price, subject to adjustments, all as defined in the agreements.</w:t>
      </w:r>
    </w:p>
    <w:p>
      <w:pPr>
        <w:spacing w:after="0" w:line="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Offtake Agreements with two customers, who are Legacy Origin stockholders, allowed those customers to terminate the agreements and seek liquidated damages if specified construction and product delivery requirements are not satisfied.</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24" w:name="page25"/>
    <w:bookmarkEnd w:id="24"/>
    <w:p>
      <w:pPr>
        <w:ind w:right="60"/>
        <w:spacing w:after="0" w:line="254" w:lineRule="auto"/>
        <w:rPr>
          <w:sz w:val="20"/>
          <w:szCs w:val="20"/>
          <w:color w:val="auto"/>
        </w:rPr>
      </w:pPr>
      <w:r>
        <w:rPr>
          <w:rFonts w:ascii="Times New Roman" w:cs="Times New Roman" w:eastAsia="Times New Roman" w:hAnsi="Times New Roman"/>
          <w:sz w:val="18"/>
          <w:szCs w:val="18"/>
          <w:color w:val="auto"/>
        </w:rPr>
        <w:t>One of those Offtake Agreements has been amended to eliminate these construction and product delivery requirements and the associated liquidated damages provisions. On August 1, 2022, the Company amended its Offtake Agreement and related secured promissory note with one of its customers who is a Legacy Origin stockholder. The amendment converted the customer's obligation to purchase a specified annual amount of product from Origin 1 into an option to make a one-time purchase from Origin 1 and eliminated certain construction and delivery milestones and associated liquidated damages provisions applicable in the event those milestones were not met. In addition, the amendment reflected the customer's exercise of its option to enter into a new Offtake Agreement to buy a specified annual amount of product from Origin 2 for an initial term of up to 10 years. The related promissory note was amended to make each of three fixed repayments three months earlier and to allow the customer to offset amounts due under the amended Offtake Agreement against amounts owed under the amended note.</w:t>
      </w:r>
    </w:p>
    <w:p>
      <w:pPr>
        <w:spacing w:after="0" w:line="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other Offtake Agreement continues to allow the customer to terminate the agreement and seek liquidated damages if specified requirements are not satisfied. For example, under the agreement, if Origin 1 had not commenced commercial operation by December 31, 2021 or we had not delivered specified product volume from Origin 1 by September 30, 2022, then we could be required to pay liquidated damages up to an aggregate of $0.2 million. The customer may also terminate the agreement and any outstanding secured promissory note resulting from an advance payment made to us by that customer will become due immediately. The outstanding obligations under that promissory note, together with accrued interest, totaled an aggregate of $5.3 million and $5.2 million as of September 30, 2022 and December 31, 2021, respectively.</w:t>
      </w:r>
    </w:p>
    <w:p>
      <w:pPr>
        <w:spacing w:after="0" w:line="18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believes enforcement of the liquidated damages provision under the foregoing Offtake Agreement is not probable and expects to secure amendments to this Offtake Agreement pursuant to its ongoing discussions with the customer. However, the Company cannot guarantee that it will be successful in amending this Offtake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Convertible Notes Payable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2019, the Company entered into secured convertible note agreements (“Bridge Notes”) with certain Legacy Origin preferred stockholders, whereby the Company can borrow up to $6.0 million. The Bridge Notes bore an annual interest rate of 10% and matured on March 31, 2021, unless converted. If the Company issues shares of a new series of preferred stock prior to maturity, the outstanding principal and unpaid accrued interest will convert at 70% of the per share price of the new series of preferred stock. Upon a liquidation event, as defined in the agreements, the Company would be required to repay purchasers in cash an amount equal to 200% of the outstanding principal amount plus the outstanding principal and accrued interest. The Bridge Notes were collateralized by substantially all of the Company’s assets. The conversion and liquidation features were deemed to be derivatives under ASC 815 (see Note 6) and separately measured and recognized from the Bridge Notes through a debt discount.</w:t>
      </w:r>
    </w:p>
    <w:p>
      <w:pPr>
        <w:spacing w:after="0" w:line="189" w:lineRule="exact"/>
        <w:rPr>
          <w:sz w:val="20"/>
          <w:szCs w:val="20"/>
          <w:color w:val="auto"/>
        </w:rPr>
      </w:pPr>
    </w:p>
    <w:p>
      <w:pPr>
        <w:jc w:val="both"/>
        <w:ind w:right="200"/>
        <w:spacing w:after="0" w:line="269" w:lineRule="auto"/>
        <w:rPr>
          <w:sz w:val="20"/>
          <w:szCs w:val="20"/>
          <w:color w:val="auto"/>
        </w:rPr>
      </w:pPr>
      <w:r>
        <w:rPr>
          <w:rFonts w:ascii="Times New Roman" w:cs="Times New Roman" w:eastAsia="Times New Roman" w:hAnsi="Times New Roman"/>
          <w:sz w:val="17"/>
          <w:szCs w:val="17"/>
          <w:color w:val="auto"/>
        </w:rPr>
        <w:t>In January 2021, the Company amended the Bridge Notes to extend the maturity date from March 31, 2021 to September 30, 2021. The amendment also added a SPAC transaction to the conversion provision such that the Bridge Notes convert if the Company issues at least $50.0 million of shares of a new series of preferred stock or closes a SPAC transaction (each a “Qualified Financing”) prior to maturity. In a Qualified Financing that is a preferred stock issuance, the notes convert at 70% of the cash price paid per share for the preferred shares. In a Qualified Financing that is a SPAC transaction, the notes convert at the lesser of (i) 70% of the per share value attributed to the shares of the Company’s common stock as set forth in the Merger Agreement or</w:t>
      </w:r>
    </w:p>
    <w:p>
      <w:pPr>
        <w:spacing w:after="0" w:line="3" w:lineRule="exact"/>
        <w:rPr>
          <w:sz w:val="20"/>
          <w:szCs w:val="20"/>
          <w:color w:val="auto"/>
        </w:rPr>
      </w:pPr>
    </w:p>
    <w:p>
      <w:pPr>
        <w:ind w:right="120" w:firstLine="8"/>
        <w:spacing w:after="0" w:line="255"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value that would be attributed to the Company’s common stock assuming a pre-transaction valuation of the Company in connection with the SPAC transaction of $700.0 million. These notes fully converted into the Company common stock upon consummation of the Business Combination (see Note 4).</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February 2021 the Company issued $10.0 million of new, unsecured convertible notes (the “Convertible Notes”). The Convertible Notes bore an annual interest rate of 8% and matured on September 30, 2021, unless converted. If the Company issues at least $50.0 million worth of shares of a new series of preferred stock prior to maturity or closes a SPAC transaction (each a “Qualified Financing”), the outstanding principal and unpaid accrued interest will convert at 80% of the per share price of the new series of preferred stock or, in the case of a SPAC transaction, at 80% of the per share value attributed to the shares of the Company’s common stock as set forth in the Merger Agreement. Upon a Change of Control (other than a Qualified Financing), as defined in the Convertible Notes, the Company will repay purchasers in cash an amount equal to the outstanding principal and accrued interest plus a repayment premium equal to 100% of the outstanding principal amount of the notes. Debt issuance costs are recorded against the outstanding payable balance. These notes fully converted into the Company common stock upon consummation of the Business Combination (see Note 4).</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Legacy Stockholder Note</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November 2016, the Company received a $5.0 million prepayment from a Legacy Origin stockholder for product from Origin 1 pursuant to an Offtake Agreement. The prepayment was to be credited against the purchase of products over the term of the Offtake Agreement. The prepayment was secured by a promissory note (the “Promissory Note”) to be repaid in cash in the event that the prepayment could not be credited against the purchase of product, for example, if Origin 1 was never constructed. The Promissory Note was collateralized substantially by Origin 1 and other assets of Origin Material Canada Pioneer Limited. In May 2019, the Company and legacy stockholder amended the Offtake Agreement and Promissory Note. The amendment added accrued interest of $0.2 million to the principal balance of the prepayment and provided for the prepayment amount to be repaid in three annual installments rather than being applied against the purchase of product from Origin 1. On August 1, 2022, the Company and legacy stockholder further amended and restated the Promissory Note with an aggregate principal amount of $5.2 million which is the sum of the original principal with accrued interest prior to the amendment. As a result, the repayment dates were revised and to allow the Legacy Origin stockholder to offset amounts owed for the purchase of product from the Company's Origin 1 facility against amounts due under the Promissory Note. The repayment in the amount of $2.7 million is due on September 1, 2024, $1.9 million is due on September 1, 2025, and $1.8 million is due on September 1, 2026 (inclusive of accrued but unpaid interest). At September 30, 2022 and December 31, 2021, the total debt outstanding was $5.8 million and $5.2 million,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Related Party Other Liabilities, Long-term</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2016, the Company received a $5.0 million prepayment from a Legacy Origin stockholder for product from Origin 1 pursuant to an Offtake Agreement. The prepayment is to be credited against the purchase of products from Origin 1 over the term of the Offtake Agreement. Specifically, repayment is effected by applying a credit to product purchases each month over the first five years of operation of Origin 1 up to $7.5 million, which is equal to 150% of the prepayment amount. If product purchases are not sufficient to recover the advances, the application of the credit to purchases as payment of the advances will continue until fully repaid. The prepayment is secured by a note to be repaid in cash in the event the prepayment cannot be credited against the purchase of product, for example, if Origin 1 is never constructed. The note is collateralized substantially by Origin 1 and other assets of Origin Material Canada Pioneer Limited. If repaid in cash, the note bears an annual interest rate of the three-month London Interbank Offered Rate (“LIBOR”) plus 0.25% (3.39% at September 30, 2022) and matures five years from the commercial operation date of Origin 1. At September 30, 2022 and December 31, 2021 the total note principal outstanding was $5.1 million and accrued interest outstanding was $0.2 million and $0.1 million, respectively.</w:t>
      </w:r>
    </w:p>
    <w:p>
      <w:pPr>
        <w:spacing w:after="0" w:line="292"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 Long-term</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2019, the Company entered into a $5.0 million prepayment agreement with a counterparty for the purchase of products from Origin 2. The prepayment is to be made in two equal installments: the first $2.5 million was in October 2019 and the remaining $2.5 million is due within 30 days of the customer confirming that a sample from Origin 1 meets the customer’s specifications. The Company and customer agreed to work in good faith to execute an Offtake Agreement, the agreed terms of which are set forth in the prepayment agreement, whereby 100% of the prepayment will be applied against future purchases. The prepayment agreement provides the customer a capacity reservation of up to a specified annual volume of product from Origin 1 for a term of ten years, pursuant to the terms of an Offtake Agreement. At September 30, 2022 and December 31, 2021, the total amount outstanding on this agreement was $2.5 million.</w:t>
      </w:r>
    </w:p>
    <w:p>
      <w:pPr>
        <w:spacing w:after="0" w:line="293"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Earnout Liability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additional consideration for the Merger, within ten (10) Business Days after the occurrence of a Triggering Event, the Company shall issue or cause to be issued to each Legacy Origin and Artius stockholder the number of shares of the Company Class A Common Stock equal to the product of (i) the number of shares of Company Common Stock, Company Series A Preferred Stock, Company Series B Preferred Stock, Company Series C Preferred Stock, and the net number of shares of Company Capital Stock that would be issuable in respect of Vested Company Options in the event such options were exercised (on a net exercise basis with respect to only the applicable exercise price, immediately prior to the Closing and settled in the applicable number of shares of Company Common Stock, rounded down to the nearest whole share) held by such Legacy Origin stockholder as of immediately prior to the Effective Time; and (ii) the Earnout Exchange Ratio (such issued shares of Artius Class A Common Stock, collectively, the “Earnout Shares”). Notwithstanding anything to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ind w:right="260"/>
        <w:spacing w:after="0" w:line="282" w:lineRule="auto"/>
        <w:rPr>
          <w:sz w:val="20"/>
          <w:szCs w:val="20"/>
          <w:color w:val="auto"/>
        </w:rPr>
      </w:pPr>
      <w:r>
        <w:rPr>
          <w:rFonts w:ascii="Times New Roman" w:cs="Times New Roman" w:eastAsia="Times New Roman" w:hAnsi="Times New Roman"/>
          <w:sz w:val="18"/>
          <w:szCs w:val="18"/>
          <w:color w:val="auto"/>
        </w:rPr>
        <w:t>contrary herein, in no event shall Artius be required to issue more than 25,000,000 Earnout Shares in the aggregate. A Triggering Event is defined as the following:</w:t>
      </w:r>
    </w:p>
    <w:p>
      <w:pPr>
        <w:spacing w:after="0" w:line="54" w:lineRule="exact"/>
        <w:rPr>
          <w:sz w:val="20"/>
          <w:szCs w:val="20"/>
          <w:color w:val="auto"/>
        </w:rPr>
      </w:pPr>
    </w:p>
    <w:p>
      <w:pPr>
        <w:ind w:left="760" w:right="100" w:hanging="266"/>
        <w:spacing w:after="0" w:line="282" w:lineRule="auto"/>
        <w:tabs>
          <w:tab w:leader="none" w:pos="751"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volume weighted average price of Common Stock (“VWAP”) equaling on exceeding $15.00 for ten (10) consecutive trading days during the three (3) year period following the Closing Date;</w:t>
      </w:r>
    </w:p>
    <w:p>
      <w:pPr>
        <w:spacing w:after="0" w:line="53" w:lineRule="exact"/>
        <w:rPr>
          <w:rFonts w:ascii="Times New Roman" w:cs="Times New Roman" w:eastAsia="Times New Roman" w:hAnsi="Times New Roman"/>
          <w:sz w:val="18"/>
          <w:szCs w:val="18"/>
          <w:b w:val="1"/>
          <w:bCs w:val="1"/>
          <w:i w:val="1"/>
          <w:iCs w:val="1"/>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equaling or exceeding $20.00 for ten (10) consecutive trading days during the four (4) year period following the Closing Date; or</w:t>
      </w:r>
    </w:p>
    <w:p>
      <w:pPr>
        <w:spacing w:after="0" w:line="11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equaling or exceeding $25.00 for ten (10) consecutive trading days during the five (5) year period following the Closing Date.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Sponsor Letter Agreement was delivered in connection with the Merger such that 4.5 million of the shares held by Sponsor (“Sponsor Vesting Shares”) shall be subject forfeiture based on the same vesting requirements as the Earnout Shares. These shares shall not be transferred prior to the date in which they vest. Dividends and other distributions with respect to Sponsor Vesting Shares shall be set aside by the Company and shall be paid to the Sponsor upon the vesting of such Sponsor Vesting Shares.</w:t>
      </w:r>
    </w:p>
    <w:p>
      <w:pPr>
        <w:spacing w:after="0" w:line="17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evaluated the Earnout Liability under ASC 815-40, </w:t>
      </w:r>
      <w:r>
        <w:rPr>
          <w:rFonts w:ascii="Times New Roman" w:cs="Times New Roman" w:eastAsia="Times New Roman" w:hAnsi="Times New Roman"/>
          <w:sz w:val="18"/>
          <w:szCs w:val="18"/>
          <w:i w:val="1"/>
          <w:iCs w:val="1"/>
          <w:color w:val="auto"/>
        </w:rPr>
        <w:t>Derivatives and Hedging-Contracts in Entity’s Own Equity (“ASC 815-40”)</w:t>
      </w:r>
      <w:r>
        <w:rPr>
          <w:rFonts w:ascii="Times New Roman" w:cs="Times New Roman" w:eastAsia="Times New Roman" w:hAnsi="Times New Roman"/>
          <w:sz w:val="18"/>
          <w:szCs w:val="18"/>
          <w:color w:val="auto"/>
        </w:rPr>
        <w:t>, and concluded they do not meet the criteria to be classified in stockholders’ equity. Specifically, there are contingent exercise provisions and settlement provisions that exist. Holders may receive differing amounts of shares depending on the company’s stock price or the price paid in a change of control. It is noted that all remaining shares would be issuable (or the forfeiture provisions would lapse) upon any change of control involving the company and all remaining shares would be issuable (or the forfeiture provisions would lapse) upon a bankruptcy or insolvency of the company. This means that settlement is not solely impacted by the share price of the Company (that is, the share price observed in or implied by a qualifying change-in-control event), but also by the occurrence of a qualifying change-in-control event. This causes the arrangement to not be indexed to the Company’s own shares and liability classification is appropriate. The Company recorded these instruments as liabilities on the condensed consolidated balance sheet at fair value, with subsequent changes in their respective fair values recognized in earnings at each reporting date. The earnout liability was fair valued using a Monte Carlo open-ended model. The inputs used for the model were a dividend yield of 0%, volatility of 72%, and interest rate of 4.10%. At September 30, 2022 and December 31, 2021 the balance of the earnout liability was $64.2 million and $127.8 million, respectively. A gain of $15.1 million and $63.6 million was recorded in the three and nine months ended September 30, 2022, respectively. For the three and nine months ended September 30, 2021, a gain of $21.5 million and $67.0 million, respectively, was recorded on the unaudited Condensed Consolidated Statement of Operations and Comprehensive Income (Loss) in the change in fair value of earnout liability.</w:t>
      </w:r>
    </w:p>
    <w:p>
      <w:pPr>
        <w:spacing w:after="0" w:line="291"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Canadian Government Research and Development Program Liability</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April 2019, the Company entered into a contribution agreement related to the research and development and construction associated with the operation of Origin 1 in which the Company will participate in a Canadian government research and development program (the “R&amp;D Agreement”). Pursuant to the R&amp;D Agreement, the Company will receive funding for eligible expenditures through March 31, 2023 up to the lesser of approximately 18.48% of eligible costs and $23.0 million (in Canadian dollars).</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funding will be repaid over 15 years after completion of Origin 1, commencing no sooner than the third fiscal year of consecutive revenues from a commercial plant, but no later than the fifth year following the earlier of (1) the year in which the Company completes construction of Origin 1 or (2) March 2023. The maximum amount to be repaid by the Company under the R&amp;D Agreement is 1.25 times the actual funding received, subject to the following repayment ceiling formula. Repayment of the funding will be reduced by 50% if the Company begins construction before December 31, 2024 of one or more commercial plants that operate in Canada, with costs exceeding $500.0 million (in Canadian dollars), and the plants being constructed and operational within 30 months of the final investment decision, as defined in the R&amp;D Agreement. Once begun, repayments will be paid annually by April of each year through March 31, 2037. Payments will be determined by a formula of the funded amount based on the fiscal year gross business revenue, as defined in the R&amp;D Agreement. The Company recorded a liability of $6.3 million and $6.8 million at September 30, 2022 and December 31, 2021, respectively, on the Condensed Consolidated Balance Sheets in Canadian government research and development program liability.</w:t>
      </w:r>
    </w:p>
    <w:p>
      <w:pPr>
        <w:spacing w:after="0" w:line="292"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Assumed Common Stock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there are 35,476,627 warrants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spacing w:after="0" w:line="261" w:lineRule="auto"/>
        <w:rPr>
          <w:sz w:val="20"/>
          <w:szCs w:val="20"/>
          <w:color w:val="auto"/>
        </w:rPr>
      </w:pPr>
      <w:r>
        <w:rPr>
          <w:rFonts w:ascii="Times New Roman" w:cs="Times New Roman" w:eastAsia="Times New Roman" w:hAnsi="Times New Roman"/>
          <w:sz w:val="18"/>
          <w:szCs w:val="18"/>
          <w:color w:val="auto"/>
        </w:rPr>
        <w:t>As part of Artius’s initial public offering, 24,149,960 Public Warrants were sold. The Public Warrants entitle the holder thereof to purchase one share of Common Stock at a price of $11.50 per share, subject to adjustments. The Public Warrants may be exercised only for a whole number of shares of Common Stock. No fractional shares will be issued upon exercise of the warrants. The Public Warrants will expire on June 25, 2026 at 5:00p.m., New York City time, or earlier upon redemption or liquidation. The Public Warrants are listed on the Nasdaq under the symbol “ORGNW.”</w:t>
      </w:r>
    </w:p>
    <w:p>
      <w:pPr>
        <w:spacing w:after="0" w:line="7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when exercisable, in whole and not in part, at a price of $0.01 per warrant, so long as the Company provides not less than 30 days’ prior written notice of redemption to each warrant holder, and if, and only if, the reported last sale price of the Common Stock equals or exceeds $18.00 per share for any 20 trading days within a 30-trading day period ending on the third trading day prior to the date the Company sends the notice of redemption to the warrant holders.</w:t>
      </w:r>
    </w:p>
    <w:p>
      <w:pPr>
        <w:spacing w:after="0" w:line="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Simultaneously with Artius’s initial public offering, Artius consummated a private placement of 11,326,667 Private Placement Warrants with the Sponsor. The Private Placement Warrant is exercisable for one share of Class A Common Stock at a price of $11.50 per share, subject to adjustment. The Private Placement Warrants are identical to the Public Warrants, except that: (1) the Private Placement Warrants and the shares of Class A Common Stock issuable upon exercise of the Private Placement Warrants are not transferable, assignable or salable until the earliest to occur of: (i) 365 days after the date of the Closing; (ii) the first day after the date on which the closing price of the Public Shares (or any successor securities thereto) equals or exceeds $12.00 per share (as adjusted for stock splits, stock dividends, reorganizations, recapitalizations and the like) for any 20 trading days within any 30-trading day period commencing at least 150 days after the date of the Closing; or (iii) the date on which Artius completes a liquidation, merger, capital stock exchange, reorganization or other similar transaction that results in all of Artius’s Public Shareholders having the right to exchange their Public Shares (or any successor securities thereto) for cash, securities or other property, subject to certain limited exceptions, (2) the Private Placement Warrants will be exercisable on a cashless basis and be non-redeemable, except if the reference value equals or exceeds $10.00 and is less than $18.00 (as described above), so long as they are held by the initial purchasers or their permitted transferees, and (3) the Private Placement Warrants and the Class A ordinary shares issuable upon exercise of the Private Placement Warrants will be entitled to registration rights. If the Private Placement Warrants are held by someone other than the initial purchasers or their permitted transferees, the Private Placement Warrants will be redeemable under all redemption scenarios by the Company and exercisable by such holders on the same basis as the Public Warrants.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Assumed Common Stock Warrants, meet the definition of a derivative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ASC 815 and are recorded as liabilities. Upon consummation of the Business Combination, the fair value of the Assumed Common Stock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recorded on the Condensed Consolidated Balance Sheet. The fair value of the Assumed Common Stock Warrants was remeasured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December 31, 2021 Condensed Consolidated Balance Sheets at $37.3 million and $52.9 million, respectively, with a loss of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a gain of $15.6 million recorded in the three and nine months ended September 30, 2022, respectively. For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a gain of $13.5 million and loss of $7.4 million, respectively, was recorded on the unaudited Condensed Consolidated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(Loss).</w:t>
      </w:r>
    </w:p>
    <w:p>
      <w:pPr>
        <w:spacing w:after="0" w:line="311"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September 30, 2022, 1,010,000,000 shares, $0.0001 par value per share are authorized, of which, 1,000,000,000 shares are designated as Common Stock and 10,000,000 shares are designated as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Holders of the Common Stock are entitled to dividends when, as, and if, declared by the Board, subject to the rights of the holders of all classes of stock outstanding having priority rights to dividends. As of September 30, 2022, the Company had not declared any dividends. The holder of each share of Common Stock is entitled to one vote. There were 142,703,935 and 141,301,569 shares of Common Stock (including 4,500,000 Sponsor Vesting Shares not indexed to equity) outstanding as of September 30, 2022 and December 31,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The ESPP permits participants to purchase shares of our Common Stock with the purchase price of the shares at a price determined by our board of directors, which shall not be less than 85% of the lower of the fair market value of our Common Stock on the first day of an offering or on the date of purchase.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right="20"/>
        <w:spacing w:after="0" w:line="254" w:lineRule="auto"/>
        <w:rPr>
          <w:sz w:val="20"/>
          <w:szCs w:val="20"/>
          <w:color w:val="auto"/>
        </w:rPr>
      </w:pPr>
      <w:r>
        <w:rPr>
          <w:rFonts w:ascii="Times New Roman" w:cs="Times New Roman" w:eastAsia="Times New Roman" w:hAnsi="Times New Roman"/>
          <w:sz w:val="18"/>
          <w:szCs w:val="18"/>
          <w:color w:val="auto"/>
        </w:rPr>
        <w:t>Initially, following adoption of the ESPP, the maximum number of shares of our Common Stock that may be issued under the ESPP was 1,846,710. The ESPP 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 the lesser of (1) one percent (1%) of the fully-diluted shares of our Common Stock on December 31st of the preceding calendar year, (2) 3,693,420 of Common Stock, or (3) such lesser number of shares as determined by our board of directors. On January 1, 2022, the number of shares of Common Stock reserved for issuance under the ESPP was automatically increased by 1,875,780. As a result, as of September 30, 2022, the number of shares available for issuance under the ESPP was 3,722,490. Shares subject to purchase rights granted under the ESPP that terminate without having been exercised in full will not reduce the number of shares available for issuance under the ESPP.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no stock has been offered or issued to employees under the ESPP.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maintains the following equity incentive plans: the 2010 Stock Incentive Plan, the 2020 Equity Incentive Plan, and the 2021 Equity Incentive Plans, each as amended (together, the “Stock Plans”). Upon closing of the Business Combination, awards under the 2010 Stock Incentive Plan and 2020 Equity Incentive Plan were converted at the Exchange Ratio and the 2021 Equity Incentive Plan was adopted and approved.</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Origin may grant a wide variety of equity securities under the Stock Plans, including incentive stock options, nonstatutory stock options, stock appreciation rights, restricted stock awards, RSU awards, performance-based stock awards, and other awards. The Company has granted incentive stock options, RSU awards, and performance awards under the Stock Plans. Under the Stock Plans, options must be issued at exercise prices no less than the estimated fair value of the stock on the date of grant and are exercisable for a period not exceeding 10 years from the date of grant. Options granted to employees under the Stock Plan generally vest 25% one year from the vesting commencement date and 1/36th per month thereafter, although certain arrangements call for vesting over other periods. Options granted to non-employees under the Stock Plan vest over periods determined by the Board (generally immediate to four years). RSU awards granted to employees under the 2021 Equity Incentive Plan require a service period of three years and generally vest 33.3% annually over the three-year service period. Under the Stock Plans, the fair value of RSU awards and performance-based stock awards are determined to be the grant date closing stock price. For awards with performance-based conditions, compensation is recorded once there is sufficient objective evidence the performance conditions are considered probable of being met. The performance-based stock awards are subject to vesting based on a performance-based condition and a service-based condition. The performance-based stock awards will vest in a percentage of the target number of shares between 0% and 300%, depending on the extent the performance conditions are achieved. At September 30, 2022, the Company had not yet determined the performance conditions are probable of being met, therefore no stock compensation was accrued.</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9" w:name="page30"/>
    <w:bookmarkEnd w:id="29"/>
    <w:p>
      <w:pPr>
        <w:ind w:right="60"/>
        <w:spacing w:after="0" w:line="254" w:lineRule="auto"/>
        <w:rPr>
          <w:sz w:val="20"/>
          <w:szCs w:val="20"/>
          <w:color w:val="auto"/>
        </w:rPr>
      </w:pPr>
      <w:r>
        <w:rPr>
          <w:rFonts w:ascii="Times New Roman" w:cs="Times New Roman" w:eastAsia="Times New Roman" w:hAnsi="Times New Roman"/>
          <w:sz w:val="18"/>
          <w:szCs w:val="18"/>
          <w:color w:val="auto"/>
        </w:rPr>
        <w:t>Initially, following adoption of the 2021 Equity Incentive Plan, there were 18,467,109 shares of Common Stock reserved for issuance under the Stock Plans. The 2021 Equity Incentive Plan contains an “evergreen” share reserve feature that automatically increases the number of shares of Common Stock reserved for issuance under the plan on January 1 of each year for a period of ten years commencing on January 1, 2022 and ending on (and including) January 1, 2031 in an amount equal to five percent (5%) of the fully-diluted Common Stock on December 31 of the preceding year unless our board acts prior to January 1 to increase the share reserve by a lesser amount. The number of shares added to the share reserve on January 1 of a given year is reduced automatically to the extent necessary to avoid causing the share reserve to exceed fifteen percent (15%) of the fully-diluted Common Stock on December 31 of the preceding year. On January 1, 2022, the number of shares of Common Stock reserved for issuance under the 2021 Equity Incentive Plan was automatically increased by 9,378,902 shares pursuant to the 2021 Plan’s “evergreen” provision. As a result, as of September 30, 2022, there were 27,846,011 shares of Common Stock reserved under the Stock Plans.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activity under the Stock Plans: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4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0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0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7,892,857</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7,775,437</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(827,296)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6,938,572</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6,613,571</w:t>
            </w:r>
          </w:p>
        </w:tc>
        <w:tc>
          <w:tcPr>
            <w:tcW w:w="116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2022</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vMerge w:val="continue"/>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6,613,571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did not grant any stock options. As of September 30, 2022 and December 31, 2021, there were 18,712,559 and 11,285,104 awards, respectively, available for grant under the Stock Plans. As of September 30, 2022 and December 31, 2021 there were 3,513,417 and 4,130,184 exercisable options, respectively. The aggregate intrinsic value of options vested and expected to vest at September 30, 2022 and December 31, 2021 were $33.0 million and $49.3 million. As of September 30, 2022 and December 31, 2021, the Company had stock-based compensation of $5.5 million and $6.6 million, respectively, related to unvested stock options not yet recognized that are expected to be recognized over an estimated weighted average period of 1.9 years and 2.6 years, respectively.</w:t>
      </w:r>
    </w:p>
    <w:p>
      <w:pPr>
        <w:spacing w:after="0" w:line="18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Company issued 2,920,732 of performance and market-based stock options during 2020. During the quarter ended March 31, 2021, the Company modified the vesting schedule of 529,119 of these performance and market based stock options such that vesting at 1/48th per month would commence upon signing of the Business Combination. The Company entered into the Merger Agreement on February 16, 2021 resulting in the commencement of expense recognition related to these 529,119 options during the quarter ended March 31, 2021. During the three months ended March 31, 2021, stock compensation expense related to these performance and market based stock options was $2.9 million. For the remaining 2,391,613 performance and market-based stock options, expense commenced on the close date of the Merger, June 25, 2021, as that is the date when the performance condition was achieved.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summarizes the RSU award and performance-based stock award activity for the nine months ended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Weighted-average</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2,907,005</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5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 RSU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221,040</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 performance-based stock awards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372,000</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3,500,045</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 RSU awards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 performance-based stock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 RSU awards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 RSU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 performance-based stock awards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3,527,453</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 RSU awards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RSU awards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3,779,803</w:t>
            </w:r>
          </w:p>
        </w:tc>
        <w:tc>
          <w:tcPr>
            <w:tcW w:w="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to vest</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3,779,803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RSU awards, which upon vesting entitle the holder to be issued on a future date the number of shares of Common Stock that is equal to the number of restricted stock units subject to the RSU awards. As of September 30, 2022, the performance conditions for the granted performance-based stock awards were not probable of being met, therefore no performance award stock compensation has been recorded. Zero and 132,649, RSU awards vested during the three and nine months ended September 30, 2022, respectively, and no performance-based stock awards vested during three and nine months ended September 30, 2022. No RSU awards or performance-based stock awards were granted as of September 30, 2021. The vesting period for RSU awards is three years generally. Total remaining compensation expense for RSU awards to be recognized under the 2021 Equity Incentive Plan is $6.1 million as of September 30, 2022 and will be amortized on a straight-line basis over the remaining vesting periods. Total remaining compensation expense for performance-based stock awards to be recognized under the 2021 Equity Incentive Plan is $18.4 million as of September 30, 2022 and will be recognized over the requisite service periods once the performance-based conditions are deemed to be probable.</w:t>
      </w:r>
    </w:p>
    <w:p>
      <w:pPr>
        <w:spacing w:after="0" w:line="18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and 2021, stock compensation expense of $0.8 million and $0.5 million, respectively, and during the nine months ended September 30, 2022 and 2021, stock compensation expense of $2.9 million and $3.8 million, respectively, was recognized in general and administrative expenses on the unaudited Condensed Consolidated Statements of Operations and Comprehensive Income (Loss).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and 2021 stock compensation expense of $0.3 million and $0.1 million, respectively, and during the nine months ended September 30, 2022 and 2021, stock compensation expenses of $1.5 million and $1.0 million, respectively, was recognized in research and development expenses on the unaudited Condensed Consolidated Statements of Operations and Comprehensive Income (Loss).</w:t>
      </w:r>
    </w:p>
    <w:p>
      <w:pPr>
        <w:spacing w:after="0" w:line="280"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recorded at the end of each interim period based on the Company’s best estimate of its effective income tax rate expected to be applicable for the full fiscal year. There is no provision for income taxes because the Company has incurred operating losses since inception. The Company’s effective income tax rate was 0% for the three and nine months ended September 30, 2022 and 2021. The Company continues to maintain a full valuation allowance on its net deferred tax assets..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1" w:name="page32"/>
    <w:bookmarkEnd w:id="31"/>
    <w:p>
      <w:pPr>
        <w:ind w:left="480" w:hanging="472"/>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research and development space in Sacramento, California and Sarnia, Ontario under noncancelable lease agreements and leases various office equipment, warehouse space, and temporary fencing. The operating leases have remaining lease terms of one to nine years. Certain operating leases contain options to extend the lease. The Company included the periods covered by these options as we are reasonably certain to exercise the options for all leases. For leases with the option to extend on a month-to-month basis after the defined extension periods, the Company is reasonably certain to extend for the same term as related leases. As such, lease terms for all leased assets located at the same locations have the same end dates. Rent deposits relating to leases are included within other long-term assets on the Condensed Consolidated Balance Sheets.</w:t>
      </w: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entered into the Investor Rights Agreement on June 25, 2021 (the “Investor Rights Agreement”), pursuant to which the holders of Registrable Securities (as defined therein) became entitled to, among other things, customary registration rights, including demand, piggy-back and shelf registration rights. The Investor Rights Agreement also provides that the Company will pay certain expenses relating to such registrations and indemnify the registration rights holders against (or make contributions in respect of) certain liabilities which may arise under the Securities Act. On July 15, 2021, the Company registered the Registrable Securities for resale pursuant to a Registration Statement on Form S-1, as amended (File No. 333-257931), which became effective on July 30, 2021. The Company filed Post-Effective Amendment No. 2 to the Registration Statement on Form S-1 on Form S-3 (File No. 333-257931), which became effective on August 8,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2018, the Company executed operating and maintenance agreements for certain services, to facilitate the development and thus bring Origin 1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 necessary for its intended use, commencing in different periods between July 2018 and September 2019, and all generally for five-year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The agreements are generally automatically extended for one-year periods thereafter. The agreements include annual fixed payments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escalation clauses at the beginning of each calendar year, as defined in the agreement. The minimum fixed payments are $0.4 million per year over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term. Certain of the agreements include quantities that are based on volumes, as defined in the applicable agreements. The Company is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for applicable taxes under these agreements. The total amount capitalized into Property, Plant and Equipment, Net under the agreement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$0.9 million and $0.1 million during the three months ended September 30, 2022 and 2021, respectively, and $1.4 million and $0.2 million during the nine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2022 and 2021, respectively.</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May 2019, the Company also concurrently executed a take-or-pay steam supply agreement commencing by October 1, 2019, through December 31, 2022, whereby the Company will receive up to 25% for the first year and 50% thereafter of the steam generated, up to 140,000 MMBTUs per year. The price paid for the steam is based on a fixed amount plus the supplier’s cost of natural gas, as defined in the agreement. The total amount capitalized into Property, Plant and Equipment, Net under the agreement was $0.2 million and $0.1 million during the three months ended September 30, 2022 and 2021, respectively, and $0.5 million and $0.2 million during the nine months ended September 30, 2022 and 2021, respectively.</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May 2018, the Company entered into a joint development agreement (the “JDA”) with a legacy stockholder to evaluate alternative uses for one of the Company’s products. The term of the JDA is the later of (i) 3 years from the JDA effective date and (ii) the final expected development program completion date as specified in the JDA. There were no expenses under this agreement for the three and nine months ended September 30, 2022 or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licenses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2017, the Company entered into a nonexclusive patent license agreement for $0.1 million, which expires upon expiration of the last to expire of the licensed patents. Under this agreement, the Company will pay less than $0.1 million minimum royalty payments per year and, if the Company develops and sells certain products based on the licensed patents. Certain products that Origin is currently developing and anticipates selling are expected to utilize these patents.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t>In December 2016, the Company entered into a patent license agreement for $0.5 million, which expires upon expiration of the last to expire of the licensed patents. Under this agreement, if the Company develops and sells specific products based on the patents, the Company would pay a royalty up to a cumulative $0.5 million from Origin 1, whereby no further payments will be due for any production at Origin 1. If production of those products occurs at subsequent facilities, the Company will pay an upfront license fee royalty and a variable royalty based on production at that subsequent facility, capped at an aggregate $10.0 million per facility. Certain products that the Company is currently developing and anticipates selling are expected to utilize these patents. No payments were made during the three and nine months ended September 30, 2022 or 2021.</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2016, the Company entered into a nonexclusive patent license agreement, which expires upon expiration of the patent. Under this agreement, if the Company produces products based on the patent, the Company will pay an annual royalty upon commencement of operations on Origin 1 which will not exceed $1.0 million cumulatively. The pipeline of Company products and sales are not currently expected to be subject to this patent. The annual royalty payments is less than $0.1 million.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September 2011, the Company entered into a nonexclusive patent license agreement, which expires upon expiration of the patent. Under this agreement, if the Company develops and sells specific products based on the patent, the Company would pay a royalty up to $2.0 million per year and $10.0 million in the aggregate. Certain products that the Company is currently developing and anticipates selling are expected to utilize these patents. No payments were made during the three and nine months ended September 30, 2022 or 2021.</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June 2011, the Company entered into a nonexclusive patent license agreement, which expires upon expiration of the licensed patent. Under this agreement, the Company pays less than $0.1 million royalty fee annually and if the Company develops and sells specific products based on the patent, 0.4% of net sales. The pipeline of Company products and sales are not currently expected to be subject to this patent.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At times there may be claims and legal proceedings generally incidental to the normal course of business that are pending or threatened against the Company. Although the Company cannot predict the outcome of these matters when they arise, in the opinion of management, any liability arising from them will not have a material adverse effect on the consolidated financial position, results of operations, or liquidity of the Company. At September 30, 2022 and December 31, 2021, there were no claims or legal proceedings.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Basic and Diluted Net Income Per Share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common stockholders, which excludes Sponsor Vesting Shares which are legally outstanding, but subject to return to the Company. Basic net income per share is computed by dividing net income for the period by the weighted-average number of common shares outstanding during the period. Diluted net income per share is computed by dividing net income for the period by the weighted-average number of common shares outstanding during the period, plus the dilutive effect of the stock options, RSU awards, and convertible preferred stock warrants, as applicable pursuant to the treasury stock method, and the convertible notes, as applicable pursuant to the if-converted method. The following table sets forth the computation of basic and diluted net income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for share and per share amounts)</w:t>
            </w:r>
          </w:p>
        </w:tc>
        <w:tc>
          <w:tcPr>
            <w:tcW w:w="300" w:type="dxa"/>
            <w:vAlign w:val="bottom"/>
          </w:tcPr>
          <w:p>
            <w:pPr>
              <w:spacing w:after="0"/>
              <w:rPr>
                <w:sz w:val="15"/>
                <w:szCs w:val="15"/>
                <w:color w:val="auto"/>
              </w:rPr>
            </w:pPr>
          </w:p>
        </w:tc>
        <w:tc>
          <w:tcPr>
            <w:tcW w:w="28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common stockholders—Basic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62,576</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36,853</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62,576</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outstanding—Basic (1)</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138,061,829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136,749,956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137,348,180</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89,244,640</w:t>
            </w:r>
          </w:p>
        </w:tc>
        <w:tc>
          <w:tcPr>
            <w:tcW w:w="0" w:type="dxa"/>
            <w:vAlign w:val="bottom"/>
          </w:tcPr>
          <w:p>
            <w:pPr>
              <w:spacing w:after="0"/>
              <w:rPr>
                <w:sz w:val="1"/>
                <w:szCs w:val="1"/>
                <w:color w:val="auto"/>
              </w:rPr>
            </w:pPr>
          </w:p>
        </w:tc>
      </w:tr>
      <w:tr>
        <w:trPr>
          <w:trHeight w:val="25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4,126,256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4,748,417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4,784,416</w:t>
            </w: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RSU awards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outstanding—Diluted (1)</w:t>
            </w: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142,197,014</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141,239,965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142,134,560</w:t>
            </w:r>
          </w:p>
        </w:tc>
        <w:tc>
          <w:tcPr>
            <w:tcW w:w="8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94,029,056</w:t>
            </w: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4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weighted-average Sponsor Vesting Shares subject to return of 4,500,000 shares as of September 30, 2022 and 2021.</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Diluted earnings per share reflect the potential dilution of securities that could share in the earnings of an entity. As of September 30, 2022 and 2021, options for 1,481,531 shares of common stock, performance awards for 2,610,500 shares and 0 shares, respectively, of common stock, earnout shares for 25,000,000 shares of common stock, and Sponsor Vesting Shares for 4,500,000 shares of common stock were excluded from the table below because they are subject to market or performance conditions that were not achieved as of September 30, 2022 and 2021.</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income per share attributable to common stockholders for the periods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1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20" w:type="dxa"/>
            <w:vAlign w:val="bottom"/>
          </w:tcPr>
          <w:p>
            <w:pPr>
              <w:spacing w:after="0"/>
              <w:rPr>
                <w:sz w:val="16"/>
                <w:szCs w:val="16"/>
                <w:color w:val="auto"/>
              </w:rPr>
            </w:pPr>
          </w:p>
        </w:tc>
        <w:tc>
          <w:tcPr>
            <w:tcW w:w="2080" w:type="dxa"/>
            <w:vAlign w:val="bottom"/>
            <w:gridSpan w:val="3"/>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5020" w:type="dxa"/>
            <w:vAlign w:val="bottom"/>
          </w:tcPr>
          <w:p>
            <w:pPr>
              <w:spacing w:after="0"/>
              <w:rPr>
                <w:sz w:val="16"/>
                <w:szCs w:val="16"/>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35,476,627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35,476,627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35,476,627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35,476,627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4" w:name="page35"/>
    <w:bookmarkEnd w:id="34"/>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Origin Materials, Inc. (the “Company”) makes forward-looking statements in this Quarterly Report on Form 10-Q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risks and uncertainties. Accordingly, forward-looking statements in this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54" w:lineRule="exact"/>
        <w:rPr>
          <w:sz w:val="20"/>
          <w:szCs w:val="20"/>
          <w:color w:val="auto"/>
        </w:rPr>
      </w:pPr>
    </w:p>
    <w:p>
      <w:pPr>
        <w:ind w:left="340" w:right="400" w:hanging="332"/>
        <w:spacing w:after="0" w:line="266"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changes to the Company’s financial statements or this Report that may be required due to U.S. Securities and Exchange Commission (“SEC”) comments or further guidance regarding the accounting treatment of the Assumed Common Stock Warrants (as defined in Note 15 to the unaudited condensed consolidated financial statements in this Report);</w:t>
      </w:r>
    </w:p>
    <w:p>
      <w:pPr>
        <w:spacing w:after="0" w:line="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the Company’s disclosure controls and procedures and internal control over financial reporting;</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Company’s future financial and business performance, including financial projections and business metrics;</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Company’s strategy, future operations, financial position, estimated revenues and losses, projected costs, prospects and plans;</w:t>
      </w:r>
    </w:p>
    <w:p>
      <w:pPr>
        <w:spacing w:after="0" w:line="125"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Company’s ability to scale in a cost-effective manner;</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Company’s ability to raise capital, secure additional project financing and secure government incentives;</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Company’s ability to complete construction of its plants in the expected timeframe and in a cost-effective manner;</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Company’s ability to procure necessary capital equipment and to produce its products in large commercial quantities;</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government laws and regulations and liabilities thereunder, including any decline in the value of carbon credits;</w:t>
      </w:r>
    </w:p>
    <w:p>
      <w:pPr>
        <w:spacing w:after="0" w:line="125"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any increases or fluctuations in raw material costs;</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maintain the listing of the Company’s Common Stock on the Nasdaq; and</w:t>
      </w:r>
    </w:p>
    <w:p>
      <w:pPr>
        <w:spacing w:after="0" w:line="89" w:lineRule="exact"/>
        <w:rPr>
          <w:rFonts w:ascii="Arial" w:cs="Arial" w:eastAsia="Arial" w:hAnsi="Arial"/>
          <w:sz w:val="22"/>
          <w:szCs w:val="22"/>
          <w:color w:val="auto"/>
        </w:rPr>
      </w:pPr>
    </w:p>
    <w:p>
      <w:pPr>
        <w:ind w:left="340" w:right="100" w:hanging="332"/>
        <w:spacing w:after="0" w:line="266"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political, industry, and market conditions, including the continued effects of the global COVID-19 pandemic, sanctions imposed against Russia following its military intervention in Ukraine, global supply chain disruptions, increased inflationary pressure, labor market constraints, and other macroeconomic factors.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Other risks and uncertainties set forth in this Report, including risk factors discussed in Item 1A under the heading, “Risk Factors”.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Origin is a carbon negative materials company with a mission to enable the world’s transition to sustainable materials by replacing petroleum-based materials with decarbonized materials in a wide range of end products, such as food and beverage packaging, clothing, textiles, plastics, car parts, carpeting, tires, adhesives, soil amendments and more. We believe that our platform technology can help make the world’s transition to “net zero” possible and support the fulfillment of greenhouse gas reduction pledges made by countries as part of the United Nations Paris Agreement as well as corporations that are committed to reducing emissions in their supply chains. Our technology can convert sustainable feedstocks such as sustainably harvested wood residues, agricultural waste, wood waste and even corrugated cardboard into materials and products that are currently made from fossil feedstocks such as petroleum and natural gas. These sustainable feedstocks are not used in food production, which differentiates our technology from other sustainable materials companies that use feedstocks such as vegetable oils or high fructose corn syrup and other sugars. While we have has succeeded in producing small amounts of our products in the pilot plant for customer trials and testing purposes, we have has not yet commenced large-scale production.</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that products made using Origin's platform technology can compete directly with petroleum-derived products on both performance and price. Due to abundant and renewable wood supplies that have historically stable pricing, our cost of production is expected to be more stable than potential competing platforms that use other types of feedstocks. We believe that end products made using our platform technology will have a significant unit cost advantage over products made from other low carbon feedstocks.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developed a proprietary platform technology to convert biomass, or plant-based carbon, into the versatile “building block” chemicals CMF and HTC, as well as other product intermediates. At a commercial scale, Origin's platform technology is expected to produce CMF and HTC with a negative carbon footprint. Origin believes these chemicals can replace petroleum-based counterparts, lowering the carbon footprint of a wide range of materials without sacrificing performance or cost.</w:t>
      </w:r>
    </w:p>
    <w:p>
      <w:pPr>
        <w:spacing w:after="0" w:line="180"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are currently developing and constructing our first manufacturing plant in Ontario, Canada (“Origin 1”), with mechanical completion expected in December 2022. We are also currently in the planning phase for the construction of a significantly larger manufacturing plant (“Origin 2”), which is expected to become operational in 2025.</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June 25, 2021, Artius Acquisition, Inc consummated the Business Combination with Legacy Origin pursuant to the Merger Agreement. In connection with the closing of the Business Combination, Artius changed its name to Origin Materials, Inc. Legacy Origin was deemed to be the accounting acquirer in the Merger. While Artius was the legal acquirer in the Merger, because Legacy Origin was deemed the accounting acquirer, the historical consolidated financial statements of Legacy Origin became the historical consolidated financial statements of the combined company, upon the consummation of the Merger.</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 and the related notes appearing elsewhere in this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the sections titled “Cautionary Note Regarding Forward-Looking Statements” and “Risk Factors” as set forth elsewhere in this Report. Unless the context otherwise requires, references in this section to “Legacy Origin”, “the Company”, “we”, “us” and “our” refer to the business and operations of Legacy Origin and its consolidated subsidiaries prior to the Business Combination and to Origin Materials, Inc. and its consolidated subsidiaries, following the Closing.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2020, the COVID-19 outbreak was declared a pandemic by the World Health Organization. The pandemic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the COVID-19 pandemic.</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ind w:right="40"/>
        <w:spacing w:after="0" w:line="255" w:lineRule="auto"/>
        <w:rPr>
          <w:sz w:val="20"/>
          <w:szCs w:val="20"/>
          <w:color w:val="auto"/>
        </w:rPr>
      </w:pPr>
      <w:r>
        <w:rPr>
          <w:rFonts w:ascii="Times New Roman" w:cs="Times New Roman" w:eastAsia="Times New Roman" w:hAnsi="Times New Roman"/>
          <w:sz w:val="18"/>
          <w:szCs w:val="18"/>
          <w:color w:val="auto"/>
        </w:rPr>
        <w:t>We continue to monitor the rapidly evolving conditions and circumstances, as well as guidance from international and domestic authorities, including public health authorities, and we may need to take additional actions based on their recommendations. There is considerable uncertainty regarding the impact on our business stemming from current measures and potential future measures that could restrict access to our facilities, limit manufacturing and support operations and place restrictions on our workforce and suppliers. The measures implemented by various authorities related to the COVID-19 outbreak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or to attend trade shows, investor conferences and other events.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full extent to which the ongoing COVID-19 pandemic adversely affects our financial performance will depend on future developments, many of which are outside of our control, that are highly uncertain and cannot be predicted, including, but not limited to, the duration and spread of the pandemic, its severity, the effectiveness of actions to contain the virus (including the availability and effectiveness of vaccines) or treat its impact, and how quickly and to what extent normal economic and operating conditions can resume. The COVID-19 pandemic could also result in additional governmental restrictions and regulations, which could harm Origin’s business and financial results. In addition, a recession, depression or other sustained adverse market impact resulting from COVID-19 could harm our business and its access to needed capital and liquidity. Even after the COVID-19 pandemic has subsided, Origin may continue to experience adverse impacts on its business and financial performance as a result of the global economic impact of the COVID-19 pandemic.</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 the extent that the COVID-19 pandemic adversely affects our business, results of operations, financial condition or liquidity, it may also heighten other risks, such as the risk that, if the business impacts of COVID-19 carry on for an extended period, we may be required to recognize impairments for certain long-lived assets including amortizable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Origin’s Operating Results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a pre-revenue company. We believe that our performance and future success depend on several factors that present significant opportunities for us but also pose risks and challenges, including those discussed below and under “Risk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appearing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currently conduct our business through one operating segment. As a pre-revenue company with no commercial operations, our activities to date have been limited, and our historical results are reported under U.S. GAAP and in U.S. Dollars. Upon commencement of commercial operations, we expect to expand our operations substantially, including in the United States and Canada, and as a result, we expect Origin's future results to be sensitive to foreign currency transaction and translation risks and other financial risks that are not reflected in Origin's historical financial statements. As a result, we expect that the financial results we report for periods after we begin commercial operations will not be comparable to the financial results included in this Report.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are a pre-revenue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consisted primarily of development of key product intermediates including CMF, HTC, levulinic acid and furfural, and the conversion of those intermediates into products familiar to and desired by our customers, such as PX and PET. Our research and development expenses also include investments associated with the expansion of the Origin 1 plant and planning and construction of the Origin 2 plant, including the material and supplies to support product development and process engineering efforts.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stock-based compensation, professional fees, including, the costs of accounting, audit, legal, regulatory and tax compliance.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Additionally, costs related to advertising, trade shows, corporate marketing, as well as an allocated portion of our occupancy costs also comprise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Assumed Common Stock Warrants Liability</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change in fair value of assumed common stock warrants liability consists of the change in fair value of the Public Warrants and Private Placement Warrants assumed in connection with the Business Combination. We expect to incur an incremental income (expense) for the fair value adjustments for the outstanding assumed common stock warrants liability at the end of each reporting period or through the exercise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Earnout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earnout liability consists of the change in fair value of the future contingent equity shares related to the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recognize an incremental income (expense) for the fair value adjustments of the outstanding liability at the end of each reporting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other income (expense) consists of income from governmental grant programs, interest expense for stockholder convertible notes payable, interest income on marketable securities, and income or expenses related to changes in the fair value of assumed common stock warrants liability, redeemable convertible preferred stock warrants, earnout liability, and derivative assets and liabilities. We expect to incur an incremental income (expense) for the fair value adjustments of these liabilities at the end of each reporting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income tax provision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the recoverability of the tax assets is not more likely than 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provide investors with additional information in connection with our results as determined in accordance with U.S. GAAP, we disclose Adjusted Earnings before Interest, Taxes, Depreciation, and Amortization (“Adjusted EBITDA”) as a non-U.S. GAAP measure. This measure is not a financial measure calculated in accordance with U.S. GAAP, and it should not be considered as a substitute for net income, operating income, or any other measure calculated in accordance with U.S. GAAP, and may not be comparable to similarly titled measures reported by other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the presentation of Adjusted EBITDA is appropriate to provide additional information to investors about our operating profitability adjusted for certain non-cash items, non-routine items that we do not expect to continue at the same level in the future, as well as other items that are not core to our operations. Further, we believe Adjusted EBITDA provides a meaningful measure of operating profitability because we use it for evaluating our business performance, making budgeting decisions, and comparing our performance against that of other peer companies using similar measures.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We define Adjusted EBITDA as net income or loss adjusted for certain non-cash and non-recurring items, including (i) stock-based compensation expense,</w:t>
      </w:r>
    </w:p>
    <w:p>
      <w:pPr>
        <w:spacing w:after="0" w:line="27" w:lineRule="exact"/>
        <w:rPr>
          <w:sz w:val="20"/>
          <w:szCs w:val="20"/>
          <w:color w:val="auto"/>
        </w:rPr>
      </w:pPr>
    </w:p>
    <w:p>
      <w:pPr>
        <w:ind w:right="120" w:firstLine="8"/>
        <w:spacing w:after="0" w:line="255"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(iii) interest income (iv) interest expense, net of capitalized interest, (v) change in fair value of derivative liabilities, (vi) change in fair value of warrants liability, (vii) change in fair value of earnout liability, (viii) professional fees related to completed mergers, and (ix) other income, net.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4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related to completed mergers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results of operations with respect to the items set forth in such table for the nine months ended September 30, 2022 and 2021 together with the change in such items in dollars and as a percentage.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Variance $</w:t>
            </w:r>
          </w:p>
        </w:tc>
        <w:tc>
          <w:tcPr>
            <w:tcW w:w="100" w:type="dxa"/>
            <w:vAlign w:val="bottom"/>
          </w:tcPr>
          <w:p>
            <w:pPr>
              <w:spacing w:after="0"/>
              <w:rPr>
                <w:sz w:val="12"/>
                <w:szCs w:val="12"/>
                <w:color w:val="auto"/>
              </w:rPr>
            </w:pPr>
          </w:p>
        </w:tc>
        <w:tc>
          <w:tcPr>
            <w:tcW w:w="1600" w:type="dxa"/>
            <w:vAlign w:val="bottom"/>
            <w:tcBorders>
              <w:top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 and loss from operations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$3.1 million, or 56%, during nine months ended September 30, 2022 compared to the same period in 2021. The increase is mainly attributed to an increase of $1.4 million for general facilities expense, $0.8 million net increase in payroll costs due to increased headcount, and $0.4 million increase in professional fees.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$3.6 million, or 27%, during nine months ended September 30, 2022 compared to the same period in 2021. The increase is mainly due to $2.7 million increase in professional and legal fees, $1.4 million increase in insurance, $1.3 million increase in general facilities expense, and $1.1 million increase in payroll cost and travel expense, partially offset by $3.1 million reclassification of financing costs to executed SPAC merger for prior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income increased $6.1 million, or 100%, during nine months ended September 30, 2022 compared to the same period in 2021. This increase was related entirely to interest income from investments in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capitalized interest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decreased $2.8 million, or (100)%, during nine months ended September 30, 2022 compared to the same period in 2021. The decrease is due to stockholder convertible notes being reclassified to equity in June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 warrant liability, and earnout liability</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recognized an aggregate gain on the change in the fair values of the derivative liabilities, the warrant liability, and the earnout liability of $22.7 million during nine months ended September 30, 2022 compared to the same period in 2021. The decrease in fair value of earnout liability of $3.4 million is the result of the Business Combination, which resulted in the Company recording an earnout liability at closing of the Business Combination, with subsequent changes in the fair value recorded in the unaudited Condensed Consolidated Statements of Operations and Comprehensive Income (Loss). The $23.0 million increase in fair value of warrant liability is the result of the Company recording $7.4 million of expense due to the increasing likelihood of the merger resulting in a significant decrease in the value of the warrants. These resulted in a combined increase in fair value of $15.6 million for the nine months ended September 30, 2022. The movement in these instruments' fair values are driven by the value of the Company's stock price. The changes in derivative liabilities were due to a $3.2 million increase in fair value.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results of operations with respect to the items set forth in such table for the three months ended September 30, 2022 and 2021 together with the change in such items in dollars and as a percentage.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Variance $</w:t>
            </w:r>
          </w:p>
        </w:tc>
        <w:tc>
          <w:tcPr>
            <w:tcW w:w="100" w:type="dxa"/>
            <w:vAlign w:val="bottom"/>
          </w:tcPr>
          <w:p>
            <w:pPr>
              <w:spacing w:after="0"/>
              <w:rPr>
                <w:sz w:val="12"/>
                <w:szCs w:val="12"/>
                <w:color w:val="auto"/>
              </w:rPr>
            </w:pPr>
          </w:p>
        </w:tc>
        <w:tc>
          <w:tcPr>
            <w:tcW w:w="16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 and loss from operations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$1.8 million, or 91%, during three months ended September 30, 2022 compared to the same period in 2021. The increase is due primarily to $0.6 million increase in payroll cost and $0.4 million increase in general facilities expense and $0.5 million increase in professional services cost and travel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$0.8 million, or 16%, during three months ended September 30, 2022 compared to the same period in 2021. The increase is primarily attributable to $0.7 million increase in payroll cost and $0.5 million increase in general facilities expense, partially offset by $0.7 million decrease in insurance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Interest income increased $2.3 million, or 100%, during three months ended September 30, 2022 compared to the same period in 2021. Interest income is generated from Company's investment of the funds resulted from the business combination deal in the money market, corporate bonds and miscellaneous other forms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 warrant liability, and earnout liability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values of the derivative liability, the warrant liability, and the earnout liability decreased a total of $20.1 million during three months ended September 30, 2022 compared to the same period in 2021. The earnout liability and a portion of the change in the warrant liability are from newly created liabilities from the Business Combination, with a combined decrease in fair value of $21.3 million resulting from the change in fair value of these instruments over the period from the closing of the Business Combination, partially offset by the fair value of $1.1 million resulting from an increase in fair value of derivative liability. The movement in these instruments' fair values are driven by the value of the Company's stock price.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our operations principally from the sales and issuances of redeemable preferred stock, common stock, and convertible notes, and governmental grant programs. Origin had $362.2 million and $444.6 million in cash, cash equivalents, restricted cash, and marketable securities as of September 30, 2022 and December 31, 2021, respectively. Our cash equivalents are invested primarily in U.S. Treasury money market funds and our marketable securities are primarily U.S. Treasury notes and bonds, corporate bonds, asset-backed securities, foreign government and agency securities, and municipal bonds.</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not yet generated any revenue from our business operations. Our ability to successfully develop the products, commence commercial operations and expand the business will depend on many factors, including our ability to meet the working capital needs, the availability of equity or debt financing and, over time, our ability to generate cash flows from operations.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will require a significant amount of cash for capital expenditures as we invest in the construction of Origin 1 and Origin 2 plants, and additional research and development. In addition to our cash on hand following the Business Combination, we anticipate that we will need substantial additional project financing and government incentives to meet our financial projections, execute our growth strategy and expand our manufacturing capability, including to finance the construction of the Origin 1 and Origin 2 plants. Our ability to obtain financing for the construction of future plants may depend in part on our ability to first enter into customer agreements sufficient to demonstrate sufficient demand to justify the construction of such plants. We may also raise additional capital through equity offerings or debt financings, as well as through collaborations, strategic alliances or marketing, distribution or licensing arrangements with third parties. Our future capital requirements will depend on many factors, including actual construction costs of the Origin 1 and Origin 2 plants, changes in the costs in our supply chain, expanded operating activities and our ability to secure customers. If our financial projections are inaccurate, we may need to seek additional equity or debt financing from outside sources, which may not be available on acceptable terms, if at all. If we are unable to raise additional capital when required, our business, financial condition and results of operations would be harmed.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as our operating and capital expenses will increase to support the growth of the business. We expect that our general and administrative expenses and research and development expenses will continue to increase as we increase our sales and marketing activities, develop our distribution infrastructure, support our growing operations and operate as a public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2019, Legacy Origin entered into secured convertible note agreements (the “2019 Notes”) with certain Legacy Origin preferred stockholders, whereby Legacy Origin could borrow up to $6.0 million in aggregate from the noteholders. The 2019 Notes had an annual interest rate of 10% and an original maturity date of September 30, 2021. All principal and accrued interest under the 2019 Notes were converted into shares of Legacy Origin Common Stock immediately prior to the closing of the Business Combination.</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April 2020, Legacy Origin received an unsecured loan in the amount of $0.9 million under the Paycheck Protection Program (the “PPP Loan”). The Paycheck Protection Program was established under the CARES Act and is administered by the U.S. Small Business Administration. The PPP Loan had a two-year term and bore interest at a rate of 1.0% per annum. This loan was repaid on June 24, 2021.</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2022 and December 31, 2021, we had $6.3 million and $6.8 million of indebtedness under a Canadian government program, respectively, of which zero was received during the three and nine months ended September 30, 2022, and $0.3 million and $0.3 million was received during the three and nine months ended September 30, 2021, respectively. Additionally, as of September 30, 2022, we had liability balances consisting of a $5.3 million legacy related party liability with accrued interest, a $5.8 million stockholder note with accrued interest, and a $2.5 million customer prepayment. As of December 31, 2021, we had liability balances consisting of a $5.7 million legacy related party liability with accrued interest, a $5.2 million stockholder note with accrued interest, and a $2.5 million customer prepayment.</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February 2021, Legacy Origin issued and sold convertible promissory notes with an aggregate principal amount of $10.0 million and an interest rate of 8.0% per annum (the “2021 Notes”). The 2021 Notes had an original maturity date on September 30, 2021. All principal and accrued interest on the 2021 Notes were converted into shares of Legacy Origin Common Stock immediately prior to the closing of the Business Combination.</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November 2016, Legacy Origin received a $5.0 million prepayment from a legacy stockholder for product from Origin 1 pursuant to an Offtake Agreement. The prepayment was to be credited against the purchase of products over the term of the agreement. The prepayment was secured by a promissory note to be repaid in cash in the event that the prepayment could not be credited against the purchase of product, for example, if Origin 1 were never constructed. The promissory note was collateralized substantially by Origin 1 and other assets of Origin Materials Canada Pioneer Limited. In May 2019, Legacy Origin and the legacy stockholder amended the Offtake Agreement and promissory note. The amendment added accrued interest of</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$0.2 million to the principal balance of the prepayment and provided for the prepayment amount to be repaid in three annual installments rather than being applied against the purchase of product from Origin 1. On August 1, 2022, Legacy Origin and the legacy stockholder amended the note to provide for repayment in three installments consisting of $2.7 million on September 1, 2024, $1.9 million on September 1, 2025, and $1.8 million on September 1, 2026 and to allow the legacy stockholder to offset amounts owed for the purchase of product from Legacy Origin's Origin 1 facility against amounts due under the note. At September 30, 2022 and December 31, 2021, the total aggregate principal amount of debt outstanding was $5.2 million and $5.2 million and accrued interest totaled $0.6 million and $0.5 million, respectively.</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November 2016, Legacy Origin received a $5.0 million prepayment from a legacy stockholder for product from Origin 1 pursuant to an Offtake Agreement. The prepayment is to be credited against the purchase of products from Origin 1 over the term of the Offtake Agreement. Specifically, repayment is effected by applying a credit to product purchases each month over the first five years of operation of Origin 1 up to $7.5 million, which is equal to 150% of the prepayment amount. If product purchases are not sufficient to recover the advances, the application of the credit to purchases as payment of the advances will continue until fully repaid. The prepayment is secured by a note to be repaid in cash in the event the prepayment cannot be credited against the purchase of product, for example, if Origin 1 is never constructed. The note is collateralized substantially by Origin 1 and other assets of Origin Material Canada Pioneer Limited. If repaid in cash, the note bears an annual interest rate of the three-month London Interbank Offered Rate (“LIBOR”) plus 0.25% (3.39% at September 30, 2022) and matures five years from the commercial operation date of Origin 1. At September 30, 2022 and December 31, 2021 the total note principal outstanding was $5.1 million and $5.1 million plus accrued interest of $0.2 million and $0.1 million, respectively.</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2019, Legacy Origin entered into a $5.0 million prepayment agreement with a counterparty for the purchase of products from Origin 2. The prepayment is to be made in two equal installments: the first $2.5 million was in October 2019 and the remaining $2.5 million is due within 30 days of the customer confirming that a sample from Origin 1 meets the customer’s specifications. Origin and the customer agreed to work in good faith to execute an Offtake Agreement, the agreed terms of which are set forth in the prepayment agreement, whereby 100% of the prepayment will be applied against future purchases. The prepayment agreement provides the customer a capacity reservation of up to a specified annual volume of product from Origin 1 for a term of ten years, pursuant to the terms of an Offtake Agreement. At September 30, 2022 and December 31, 2021, the total amount outstanding on this agreement was $2.5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2022 Compared to the Nine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cash flows for the nine months ended September 30,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69,983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478,674</w:t>
            </w:r>
          </w:p>
        </w:tc>
      </w:tr>
      <w:tr>
        <w:trPr>
          <w:trHeight w:val="175"/>
        </w:trPr>
        <w:tc>
          <w:tcPr>
            <w:tcW w:w="8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Effects of foreign exchange rate changes on the balance of cash and cash equivalents, and restricted cash held</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 foreign currencies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$9.5 million for the nine months ended September 30, 2022, compared to net cash used in operating activities of $15.6 million over the same period in 2021. The decrease in cash used in operating activities was primarily attributable to an increase in accounts payable and accrued expenses related to increased construction activities. In addition, the Company made an approximately $5.0 million deposit during third quarter 2022 towards securing a license to technologies that can be used to produce high margin downstream products using our intermediate products as feedstock.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Investing Activities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provided by investing activities was $70.0 million for the nine months ended September 30, 2022, compared to net cash used in investing activities of $5.1 million over the same period in 2021. Our cash flows from investing activities, to date, have been comprised of purchases of property and equipment, purchase of intangible asset and purchases and maturities of our marketable securities. We expect the costs to acquire property, plant and equipment to increase substantially in the near future as we fully build out Origin 1 as well as acquire the property, plant and equipment for Origin 2. The change was primarily related to the maturities of marketable securities of $124.3 million for the nine months ended September 30, 2022, compared to zero for the same period in 2021. Also, cash used to purchase property, plant and equipment of $56.6 million for the nine months ended September 30, 2022 which included $8.5 million paid during the third quarter 2022 to complete the purchase of the land in Geismar, Louisiana for Origin 2, compared to $5.1 million used for the same period in 2021.</w:t>
      </w:r>
    </w:p>
    <w:p>
      <w:pPr>
        <w:spacing w:after="0" w:line="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continues to increase activity related to the construction of Origin 1 and Origin 2, which is the main driver of the variation in cash used in investing activities between the two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$0.4 million for the nine months ended September 30, 2022, compared to net cash provided by financing activities of $478.7 million over the same period in 2021. The cash provided by financing activities during 2021 was primarily related to funds generated from business combination, net of issuance costs, of $467.5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from Known 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from known contractual obligations as of September 30, 2022, consisted of:</w:t>
      </w:r>
    </w:p>
    <w:p>
      <w:pPr>
        <w:spacing w:after="0" w:line="117" w:lineRule="exact"/>
        <w:rPr>
          <w:sz w:val="20"/>
          <w:szCs w:val="20"/>
          <w:color w:val="auto"/>
        </w:rPr>
      </w:pPr>
    </w:p>
    <w:p>
      <w:pPr>
        <w:ind w:left="66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cost of Origin 1, our initial plant, under construction in Sarnia, Ontario, Canada and Origin 2 is projected to cost over $1.1 billion, including amounts spent through September 30, 2022. These costs, plus the ongoing operating loss of the Company is expected to be funded through a combination of Company cash and marketable securities in addition to substantial project financing and government incentives. We also expect to secure funding for plant construction under potential collaborations, strategic alliances or marketing, distribution or licensing arrangements which have not yet been secured, until such time as Origin 2 is operational.</w:t>
      </w:r>
    </w:p>
    <w:p>
      <w:pPr>
        <w:spacing w:after="0" w:line="75"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that are included in our consolidated balance sheets consists of future non-cancelable minimum rental payments under operating leases for our office space, research and development space, and leases of various office equipment, warehouse space, and temporary fencing. For additional information regarding our lease liabilities, see Note 18 to the unaudited condensed consolidated financial statements in Item 1 of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In the preparation of these condensed consolidated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On an ongoing basis, we evaluate our estimates and assumptions. Our actual results may differ from these estimates under different assumptions or conditions.</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3 to our unaudited condensed consolidated financial statements included elsewhere in this Report. Our critical accounting policies and estimates were described in Part II, Item 7, Critical Accounting Policies and Estimates in our Annual Report on Form 10-K for the year ended December 31, 2021, which was filed with the SEC on March 1, 2022 (the “Annual Report”). There have been no material changes to our critical accounting policies and estimates since our Annual Report. Accordingly, these are the policies and estimates we believe are the most critical to aid in fully understanding and evaluating our consolidated financial condition and results of operations:</w:t>
      </w:r>
    </w:p>
    <w:p>
      <w:pPr>
        <w:spacing w:after="0" w:line="8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measurement and valuation of stock-based equity awards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used in the determination of the fair value of the assumed common stock warrant liability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used in the determination of the fair value of the earnout liability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measurement and valuation of marketable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See Note 5 to the unaudited condensed consolidated financial statements in this Report for more information about recent accounting pronouncements, the timing of their adoption, and our, to the extent it has made one, of their potential impact on our financial condition and its results of operations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exposed to a variety of market and other risks, including the effects of changes in interest rates, inflation and foreign currency translation and transaction risks, as well as risks to the availability of funding sources, hazard events and specific asset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market interest risk in our financial instruments and our financial positions represents the potential loss arising from adverse changes in interest rates. As of September 30, 2022, we had cash and cash equivalents and marketable securities of $362.2 million, consisting of interest-bearing money market accounts and marketable securities, for which the fair market value would be affected by changes in the general level of U.S. interest rates. However, due to the short-term maturities and the low-risk profile of our investments, an immediate 10% change in the interest rate would not have a material effect on the fair market value of our cash and cash equivalents and marketable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functional currency is the U.S. dollar, while our Canadian subsidiaries' functional currency is the Canadian dollar. This can expose us to both currency transaction and translation risk. To date, we have not had material exposure to foreign currency fluctuations and have not hedged such exposure, although we may do so in the future.</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Certain marketable debt securities may be denominated in foreign currencies. At September 30, 2022, we had marketable debt securities denominated in U.S. dollar, Australian dollar, and British pound sterling. We pursue our objective of limiting foreign currency exposure by utilizing foreign currency forward contracts to offset foreign exchange risk. Our foreign currency forward contracts are generally short-term in duration. We neither use these foreign currency forward contracts for trading purposes nor do we currently designate these forward contracts as hedging instruments pursuant to Accounting Standards Codification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Accordingly, we record the fair values of these contracts as of the end of our reporting period to our consolidated balance sheets with changes in fair values recorded to our consolidated statements of operations. Given the short duration of the forward contracts, the amount recorded is not significant. Our ultimate realized gain or loss with respect to foreign currency exposures will generally depend on the size and type of cross-currency transactions that we enter into, the currency exchange rates associated with these exposures and changes in those rates, the net realized gain or loss on our foreign currency forward contracts and other factors.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management, under the direction of our Co-Chief Executive Officers and Chief Financial Officer, has evaluated the effectiveness of the design and operation of our disclosure controls and procedures (as such term is defined in Rules 13a-15(e) and 15d-15(e) under the Exchange Act) as of the period covered by this Report. Based on this evaluation, our Co-Chief Executive Officers have concluded that our disclosure controls and procedures were effective as of September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(as defined in Rules 13a-15(f) and 15d-15(f) under the Exchange Act), during the nine months ended September 30, 2022 that has materially affected, or is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available in Note 19, Commitments and Contingencies—Contingencies, to the unaudited condensed consolidated financial statements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summary risk factors and other information included in this Report should be carefully considered. The summary risks and uncertainties described below are not the only ones we face. Additional risks and uncertainties not currently known to us or that we currently deem less significant may also affect our business operations or financial results. If any of the following risks actually occur, our stock price, business, operating results and financial condition could be materially adversely affected. For more information, see below for more detailed descriptions of each risk factor.</w:t>
      </w:r>
    </w:p>
    <w:p>
      <w:pPr>
        <w:spacing w:after="0" w:line="180" w:lineRule="exact"/>
        <w:rPr>
          <w:sz w:val="20"/>
          <w:szCs w:val="20"/>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our future profitability is uncertain, and our financial projections may differ materially from actual results.</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assumes we can secure substantial additional project financing and government incentives, which may be unavailable on favorable terms, if at all.</w:t>
      </w:r>
    </w:p>
    <w:p>
      <w:pPr>
        <w:spacing w:after="0" w:line="5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a material weakness in our internal control over financial reporting that we have concluded has been remediated, though we may identify additional material weaknesses in the future or fail to maintain effective internal control over financial reporting, which may result in material misstatements of our consolidated financial statements or result in failure to meet our periodic reporting obligations.</w:t>
      </w:r>
    </w:p>
    <w:p>
      <w:pPr>
        <w:spacing w:after="0" w:line="6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our plants may not be completed in the expected timeframe or in a cost-effective manner. Any delays in the construction of our plants could severely impact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rely on our Origin 1 and Origin 2 plants as our only sources of revenue and to meet customer demand through at least 2027.</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produced our products in large commercial quantities and may not manage growth effectively.</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offtake agreements with certain customers include liquidated damages, advance repayment and/or termination provisions that may be triggered if we fail to timely complete plant construction or commence our commercial operations.</w:t>
      </w:r>
    </w:p>
    <w:p>
      <w:pPr>
        <w:spacing w:after="0" w:line="53"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offtake agreements with a limited number of customers, as well as capacity reservation agreements with these and other customers, from which we expect to generate most of our revenues in the near future. The loss of one or more of our significant customers, a substantial reduction in their orders, their failure to exercise customer options to enter into new offtake agreements or purchase product, their unwillingness to extend contractual deadlines if we are unable to meet production requirements, their inability to perform under their contracts or a significant deterioration in their financial condition could harm our business, results of operations and financial condition. Our customers may decide not to convert their capacity reservations to offtake agreements, which would impact the amount of revenue we expect to recognize from these agreements.</w:t>
      </w:r>
    </w:p>
    <w:p>
      <w:pPr>
        <w:spacing w:after="0" w:line="80"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 and we may lose market share to producers of products that can be substituted for our products, which may have an adverse effect on our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fluctuations in the costs of our raw materials or other operating costs may affect our cost structure.</w:t>
      </w:r>
    </w:p>
    <w:p>
      <w:pPr>
        <w:spacing w:after="0" w:line="11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environmental, health and safety laws could require material expenditures, changes in our operations or site remediation.</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proprietary information and other intellectual property, and our failure to protect our intellectual property rights could harm our competitive advantages with respect to the use, manufacturing, sale or other commercialization of our processes, technologies and products, which may have an adverse effect on our results of operations and financial condition.</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sectPr>
      </w:pPr>
    </w:p>
    <w:bookmarkStart w:id="47" w:name="page48"/>
    <w:bookmarkEnd w:id="47"/>
    <w:p>
      <w:pPr>
        <w:ind w:left="660" w:right="40" w:hanging="328"/>
        <w:spacing w:after="0" w:line="26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or technologies, which may cause us to incur significant unexpected costs, prevent us from commercializing our products and otherwise harm our business.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trade secrets to protect our technology, and our failure to maintain trade secret protection could limit our ability to compete.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unaudited financial statements and notes to such financial statements included elsewhere in this Report and the “Management’s Discussion and Analysis of Financial Condition and Results of Operations” section of this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Status as an Early Stage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our future profitability is uncertain.</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had a history of net losses due to our primary focus on research and development, plant construction, capital expenditures and early-stage commercial activities. For the years ended December 31, 2020 and 2019, we had net losses of $30.3 million and $0.5 million, respectively. For the year ended December 31, 2021, we had a net income of $42.1 million and net cash used in operations of $22.0 million. As of September 30, 2022, we had retained earnings of $5.8 million.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expect that our net losses from operations will continue for the foreseeable future. Based on our estimates and projections, which are subject to significant risks and uncertainties, we will not generate revenue until 2023 and do not expect to reach commercial scale production until 2025. Even if we are able to commercialize our products and generate revenue from product sales, we may not become profitable for many years, if at all.</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potential profitability is dependent upon many factors, including our ability to complete construction of current and future plants, maintain an adequate supply chain, anticipate and react to demand for our products, manufacture our products on a commercial scale, secure additional customer commitments, and otherwise execute our growth plan. We expect the rate at which we will incur losses to be significantly higher in future periods as we:</w:t>
      </w:r>
    </w:p>
    <w:p>
      <w:pPr>
        <w:spacing w:after="0" w:line="68" w:lineRule="exact"/>
        <w:rPr>
          <w:sz w:val="20"/>
          <w:szCs w:val="20"/>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commercial production capabilities and incur construction costs associated with building our plants;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expenditures associated with our supply chain, including sourcing primary feedstock for our products;</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spending on research and development for new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full scale commercial production of our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activities and develop our distribution infrastructure;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general and administrative functions to support our growing operations and to operate as a public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we will incur the costs and expenses from these efforts before receiving meaningful revenue, our losses in future periods could be significant. We may find that these efforts are more expensive than we currently estimates or that these efforts may not result in revenues, which would further increase our losses.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manage growth effectively.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To manage the growth of our operations and personnel, we must establish appropriate and scalable operational and financial systems, procedures and controls and establish and maintain a qualified finance, administrative and operations staff. We may be unable to hire, train, retain and manage the necessary personnel or to identify, manage and exploit potential strategic relationships and market opportunities.</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 assumes we can secure substantial additional project financing and government incentives, which may be unavailable on favorable terms, if at all.</w:t>
      </w:r>
    </w:p>
    <w:p>
      <w:pPr>
        <w:spacing w:after="0" w:line="5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will need substantial additional project financing and government incentives in order to execute our growth strategy and expand our manufacturing capability. We have not yet secured such project financing and government incentives, and they may not be available on commercially reasonable terms, if at all. In particular, our ability to obtain financing for the construction of future plants may depend in part on our ability to first enter into customer agreements sufficient to demonstrate sufficient demand to justify the construction of such plants. If we are unable to obtain such financing and government incentives, or secure sufficient customer agreements, on commercially reasonable terms, or at all, we will not be able to execute our growth strategy.</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the extent that we raise additional capital in through the sale of equity or convertible debt securities, your ownership interest will be diluted, and the terms of those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Debt financing could also have significant negative consequences for our business, results of operations and financial condition, including, among others, increasing our vulnerability to adverse economic and industry conditions, limiting our ability to obtain additional financing, requiring the dedication of a substantial portion of our cash flow from operations to service our indebtedness, thereby reducing the amount of our cash flow available for other purposes, limiting our flexibility in planning for, or reacting to, changes in our business, and placing us at a possible competitive disadvantage compared to less leveraged competitors or competitors that may have better access to capital resources.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products, or grant licenses on terms that may not be favorable to us. If we are unable to raise additional funds through equity or debt financings or other arrangements when needed, we may be required to delay, limit, reduce or terminate our commercialization, research and development efforts or grant rights to third parties to market and/or develop products that we would otherwise prefer to market and develop ourselves.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seek government grants, incentives or subsidies, their terms may be limiting or restrict certain of our planned operations, thereby requiring us to alter our operating plans and materially impacting our financial projections and projected results of operations. Government grants may also be terminated, modified or recovered under certain conditions without our consent.</w:t>
      </w:r>
    </w:p>
    <w:p>
      <w:pPr>
        <w:spacing w:after="0" w:line="28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that we have concluded has been remediated, though we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for the fiscal years ended December 31, 2019 and December 31, 2020, during the course of preparing for the Business Combination, and during the second quarter 2021 and third quarter 2021 interim reviews, we identified a material weakness in our internal controls over financial reporting. We implemented and continue to employ measures designed to improve our internal control over financial reporting, which remediated this material weakness in the fourth quarter of 2021. A material weakness is a deficiency, or a combination of deficiencies, in internal control over financial reporting such that there is a reasonable possibility that a material misstatement of its annual or interim financial statements will not be prevented or detected on a timely basis.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9" w:name="page50"/>
    <w:bookmarkEnd w:id="49"/>
    <w:p>
      <w:pPr>
        <w:ind w:right="100"/>
        <w:spacing w:after="0" w:line="258" w:lineRule="auto"/>
        <w:rPr>
          <w:sz w:val="20"/>
          <w:szCs w:val="20"/>
          <w:color w:val="auto"/>
        </w:rPr>
      </w:pPr>
      <w:r>
        <w:rPr>
          <w:rFonts w:ascii="Times New Roman" w:cs="Times New Roman" w:eastAsia="Times New Roman" w:hAnsi="Times New Roman"/>
          <w:sz w:val="18"/>
          <w:szCs w:val="18"/>
          <w:color w:val="auto"/>
        </w:rPr>
        <w:t>If we are unable to successfully remediate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financial reporting and our stock price may decline as a result. We also could become subject to investigations by Nasdaq, the SEC or other regulatory authorities.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public company, we are also required, pursuant to Section 404 of the Sarbanes-Oxley Act, to furnish a report by management on, among other things, the effectiveness of its internal control over financial reporting for future annual reports on Form 10-K to be filed with the SEC. This assessment will need to include disclosure of any material weaknesses identified by management in our internal control over financial reporting. Our independent registered public accounting firm will also be required to audit the effectiveness of our internal control over financial reporting in future annual reports on Form 10-K to be filed with the SEC. We will be required to disclose changes made in our internal control over financial reporting on a quarterly basis. Failure to comply with the Sarbanes-Oxley Act could potentially subject us to sanctions or investigations by the SEC, the applicable stock exchange or other regulatory authorities, which would require additional financial and management resources. We have begun the process of compiling the system and processing documentation necessary to perform the evaluation needed to comply with Section 404 in the future, but we may not be able to complete its evaluation, testing and any required remediation in a timely fashion.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our financial position, results of operations, and cash flows.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(the “Tax Act”) made broad and complex changes to the U.S. tax code, including changes to U.S. federal tax rates, additional limitations on the deductibility of interest, both positive and negative changes to the utilization of future net operating loss (“NOL”) carryforwards, allowing for the expensing of certain capital expenditures, and putting into effect the migration from a “worldwide” system of taxation to a more territorial system. Future guidance from the IRS with respect to the Tax Act may affect us, and certain aspects of the Tax Act could be repealed or modified in future legislation. The Coronavirus Aid, Relief, and Economic Security Act (the “CARES Act”) has already modified certain provisions of the Tax Act. In addition, it is uncertain if and to what extent various states will conform to the Tax Act, the CARES Act or any newly enacted federal tax legislation. The issuance of additional regulatory or accounting guidance related to the Tax Act could materially affect our tax obligations and effective tax rate in the period issued. In addition, many countries in Europe and a number of other countries and organizations, have recently proposed or recommended changes to existing tax laws or have enacted new laws that could significantly increase our tax obligations in the countries where we do business or require it to change the manner in which we operate our business.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we expand the scale of our international business activities, these types of changes to the taxation of our activities could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0" w:name="page51"/>
    <w:bookmarkEnd w:id="50"/>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subject to taxation in Canada and other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an adverse impact on our liquidity and results of operations. In addition, the authorities in several jurisdictions could review our tax returns and impose additional tax, interest and penalties, which could have an impact on us and on our results of operations. We have previously participated in government programs with the Canadian federal government and Canadian provincial governments that provide investment tax credits based upon qualifying research and development expenditures. If Canadian taxation authorities successfully challenge such expenses or the correctness of such income tax credits claimed, our historical operating results could be adversely affected. As a public company, we will no longer be eligible for refundable tax credits under the Canadian federal Scientific Research and Experimental Development Program (“SR&amp;ED”) credits. However, we are still eligible for non-refundable SR&amp;ED credits under this program, which are eligible to reduce future income taxes payable.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effective tax rates in Canada could be subject to volatility or adversely affected by a number of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effective tax rates could be subject to volatility or adversely affected by a number of factors, including:</w:t>
      </w:r>
    </w:p>
    <w:p>
      <w:pPr>
        <w:spacing w:after="0" w:line="117" w:lineRule="exact"/>
        <w:rPr>
          <w:sz w:val="20"/>
          <w:szCs w:val="20"/>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17"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earnings being lower than anticipated in countries where we have has lower statutory tax rates and higher than anticipated earnings in countries where we have has higher statutory tax rates.</w:t>
      </w:r>
    </w:p>
    <w:p>
      <w:pPr>
        <w:spacing w:after="0" w:line="16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may conduct activities in Canada and other jurisdictions through our subsidiaries pursuant to transfer pricing arrangements and may in the future conduct operations in other jurisdictions pursuant to similar arrangements. If two or more affiliated companies are located in different countries, the tax laws or regulations of each country generally will require that transfer prices be the same as those between unrelated companies dealing at arms’ length. While we intend to operate in compliance with applicable transfer pricing laws, our transfer pricing procedures are not binding on applicable tax authorities. 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incurred losses during our history. To the extent that we continue to generate taxable losses, unused losses will carry forward to offset future taxable income, if any, until such unused losses expire, if at all. As of December 31, 2021, we had U.S. federal net operating loss (“NOL”) carryforwards of approximately $97.8 million.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t>Under the Tax Act, as modified by the CARES Act, U.S. federal NOL carryforwards generated in taxable periods beginning after December 31, 2017, may be carried forward indefinitely, but the deductibility of such net operating loss carryforwards in taxable years beginning after December 31, 2020, is limited to 80% of taxable income. In addition, our NOL carryforwards are subject to review and possible adjustment by the IRS, and state tax authorities. Under Sections 382 and 383 of the Code, our federal net operating loss carryforwards and other tax attributes may become subject to an annual limitation in the event of certain cumulative changes in the ownership of our stock. An “ownership change” pursuant to Section 382 of the Code generally occurs if one or more stockholders or groups of stockholders who own at least 5% of a company’s stock increase their ownership (as measured by value) by more than 50 percentage points over their lowest ownership percentage within a rolling three-year period. Our ability to utilize our NOL carryforwards and other tax attributes to offset future taxable income or tax liabilities may be limited as a result of ownership changes, including potential changes in connection with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valuation allowance related to our NOL carryforwards and other deferred tax assets due to the uncertainty of the ultimate realization of the future benefits of those assets.</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secured and unsecured indebtedness, ability to incur additional debt and the provisions in the agreements governing our current debt, and certain other agreements, could harm our business, financial condition, results of operations and prospects.</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debt service and similar obligations could have important consequences to us for the foreseeable future, including that our ability to obtain additional financing for capital expenditures, working capital or other general corporate purposes may be impaired and we may be or become substantially more leveraged than some of our competitors, which could place us at a relative competitive disadvantage and make us more vulnerable to changes in market conditions and governmental regulations.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maintain compliance with certain financial and other covenants under our debt and similar agreements. There are and will be operating and financial restrictions and covenants in certain of our debt and similar agreements, as well as certain other agreements to which we are or may become a party. These limit, among other things, our ability to incur certain additional debt, create certain liens or other encumbrances and sell assets. These covenants could limit our ability to engage in activities that may be in our best long-term interests. Our failure to comply with certain covenants in these agreements could result in an event of default under the various debt and similar agreements, allowing lenders to accelerate the maturity for the debt under these agreements and to foreclose upon any collateral securing the debt. Under such circumstances, we might not have sufficient funds or other resources to satisfy all of our obligations.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Industry</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Construction of our plants may not be completed in the expected timeframe or in a cost-effective manner. Any delays in the construction of our plants could severely impact our business, financial condition, results of operations and prospects.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projected financial performance and results of operations, including our ability to achieve commercial scale production, depend on our ability to construct several commercial scale plants. While we expect the Origin 1 plant with mechanical completion expected in December 2022, we do not expect the Origin 2 plant to be operational until 2025, and our expansion to additional commercial scale plants is not planned to commence until 2027. In particular, except for Origin 2, subject to finalization of economic incentives, we have not selected a site for any of our future planned plants, and may have difficulty finding a site with appropriate infrastructure and access to raw materials. With respect to these future plants, we also do not have agreements with engineering, procurement or construction firms. Consequently, we cannot predict on what terms such firms may agree to design and construct our future plants. If we are unable to construct these plants within the planned timeframes, in a cost-effective manner or at all due to a variety of factors, including, but not limited to, a failure to acquire or lease land on which to build our plants, a stoppage of construction as a result of the COVID-19 pandemic, disruptions caused by the recent global sanctions imposed against Russia following its military intervention in Ukraine, unexpected construction problems, permitting and other regulatory issues, severe weather, inflationary pressures, labor disputes, and issues with subcontractors or vendors, including payment disputes, which we have previously experienced, our business, financial condition, results of operations and prospects could be severely impacted.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2" w:name="page53"/>
    <w:bookmarkEnd w:id="52"/>
    <w:p>
      <w:pPr>
        <w:ind w:right="60"/>
        <w:spacing w:after="0" w:line="256" w:lineRule="auto"/>
        <w:rPr>
          <w:sz w:val="20"/>
          <w:szCs w:val="20"/>
          <w:color w:val="auto"/>
        </w:rPr>
      </w:pPr>
      <w:r>
        <w:rPr>
          <w:rFonts w:ascii="Times New Roman" w:cs="Times New Roman" w:eastAsia="Times New Roman" w:hAnsi="Times New Roman"/>
          <w:sz w:val="18"/>
          <w:szCs w:val="18"/>
          <w:color w:val="auto"/>
        </w:rPr>
        <w:t>The construction and commission of any new project is dependent on a number of contingencies some of which are beyond our control. There is a risk that significant unanticipated costs or delays could arise due to, among other things, errors or omissions, unanticipated or concealed project site conditions, including subsurface conditions and changes to such conditions, unforeseen technical issues or increases in plant and equipment costs, insufficiency of water supply and other utility infrastructure, or inadequate contractual arrangements. Should these or other significant unanticipated costs arise, this could have a material adverse impact on our business, financial performance and operations. No assurance can be given that construction will be completed on time or at all, or as to whether we will have sufficient funds available to complete construction.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plan to rely on our Origin 1 and Origin 2 plants to meet customer demand until at least 2027.</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operating plan assumes that we will rely on Origin 1 and Origin 2 to meet customer demand until 2027 and that Origin 2 will supply most of our products from the time Origin 2 is expected to become operational in 2025 until at least 2027. Adverse changes or developments affecting these facilities, and in particular Origin 2, could impair our ability to produce our products. Any shutdown or period of reduced production at these facilities, and in particular Origin 2, which may be caused by regulatory noncompliance or other issues, as well as other factors beyond our control, such as severe weather conditions, natural disaster, fire, power interruption, work stoppage, disease outbreaks or pandemics (such as COVID-19), equipment failure or delay in supply delivery, would, among other things, significantly disrupt our ability to generate revenue, execute our expansion plans, and meet our contractual obligations and customer demands. In addition, our plant equipment may be costly to replace or repair, and our equipment supply chains may be disrupted in connection with pandemics (such as COVID-19), trade wars and sanctions (such as those recently imposed against Russia), or other factors. If any material amount of our equipment is damaged, we could be unable to predict when, if at all, we could replace or repair such equipment or find suitable alternative equipment, which could adversely affect our business, financial condition, results of operations and prospects. Performance guarantees may not be sufficient to cover damages or losses, or the guarantors under such guarantees may not have the ability to pay. Any insurance coverage we have may not be sufficient to cover all of our potential losses and may not continue to be available to us on acceptable terms, or at all.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delayed in procuring or unable to procure necessary capital equipment.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the equipment we use to produce our products is currently widely available, we rely on outside companies to continue to manufacture the equipment necessary to produce our products. If our suppliers of capital equipment are unable or unwilling to provide us with necessary capital equipment to manufacture our products or if we experience significant delays in obtaining the necessary manufacturing equipment, our business, results of operations and financial condition could be adversely affected. In addition, the construction of our plants may require a substantial portion of certain materials and supplies relative to the overall global supply of such materials and supplies. If we are unable to secure an adequate supply of such materials and supplies on commercially reasonable terms, or at all, the construction of our plants may be delayed or terminated.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produced our products in large commercial quantities.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no experience in producing large quantities of our products. While we have succeeded in producing small amounts of our products in our pilot plant for customer trials and testing purposes, we have not yet commenced large-scale production. There are significant technological and logistical challenges associated with producing, marketing, selling and distributing products in the specialty chemicals industry, including our products, and we may not be able to resolve all of the difficulties that may arise in a timely or cost-effective manner, or at all. While we believe that we understand the engineering and process characteristics necessary to successfully build and operate our additional planned facilities and to scale up to larger facilities, we may not be able to cost-effectively manage production at a scale or quality consistent with customer demand in a timely or economical manner.</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Any decline in the value of carbon credits associated with our products could harm our results of operations, cash flow and financial condition.</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value of our products may be dependent on the value of carbon credits, programs relating to low-carbon materials and products standards and other similar regulatory regimes or the implicit value of decarbonized materials. The value of these credits fluctuates based on market and regulatory forces outside of our control. There is a risk that the supply of low-carbon alternative materials and products outstrips demand, resulting in the value of carbon credits declining. Any such declines could mean that the economic benefits from our customers’ efforts to decarbonize their operations might not be realized. Any decline in the value of carbon credits associated with our products could harm our results of operations, cash flow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rely on a limited number of customers for a significant portion of our near-term revenue.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have offtake and capacity reservation agreements with a limited number of customers, from which we expect to generate most of our revenues in the near future. The loss of one or more of our significant customers, a substantial reduction in their orders, their failure to exercise customer options to enter into new offtake agreements or purchase product, their unwillingness to extend contractual deadlines if we are unable to meet production requirements, their inability to perform under their contracts or a significant deterioration in their financial condition could harm our business, results of operations and financial condition. If we fail to perform under the terms of these agreements, the customers could seek to terminate these agreements and/or pursue damages against us, including liquidated damages in certain instances, which could harm our business.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offtake agreements with certain customers include termination, liquidated damages and/or advance repayment provisions that may be triggered if we fail to timely complete plant construction or commence our commercial operations.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offtake agreements with certain customers allow those customers to terminate the agreements if specified construction and product delivery requirements are not satisfied. For example, under one of these agreements, if Origin 1 had not commenced commercial operation by December 31, 2021 or we had not delivered specified product volume from Origin 1 by September 30, 2022, then we could be required to pay liquidated damages up to an aggregate of $0.2 million. The customer may also terminate the agreement and any outstanding secured promissory note resulting from an advance payment made to us by that customer will become due immediately. The outstanding obligations under that promissory note, together with accrued interest, totaled an aggregate of $5.3 million and $5.2 million as of September 30, 2022 and December 31, 2021, respectively. Our offtake agreement with a second customer is terminable by that customer if commercial operation or delivery of product from Origin 1 has not occurred by December 31, 2022.</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offtake agreement with a third customer previously required us to pay liquidated damages if Origin 1 had not commenced commercial operation by June 30, 2022. On August 1, 2022, both parties mutually agreed to amend the offtake agreement to eliminate the liquidated damages provisions and milestone dates, among other things (see Item 5 - Other Information). No liquidated damages were demanded or paid under the original offtake agreement including for the period between June 30, 2022 and August 1, 2022.</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Discussions to amend the first two agreements are ongoing but we cannot guarantee that the discussions will result in an extension or removal of the milestone dates and liquidated damages. Origin 1 is not yet operational and we do not currently expect the facility to produce product until 2023. Accordingly, if these milestone dates are not extended or removed, we may be required to pay liquidated damages and repay the amounts outstanding under the foregoing promissory note and our offtake agreements may be subject to termination by our customers. If any of our offtake agreements are terminated or if we are required to pay liquidated damages or repay advances made under our offtake agreements, our business, results of operations and financial condition may be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not achieve market success.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currently have a small number of binding customer commitments for commercial quantities of our products. Some prospective customers are currently evaluating and testing our products prior to making large-scale purchase decisions. The successful commercialization of our products is dependent on our customers’ ability to commercialize the end-products that utilize our products, which may gain market acceptance slowly, if at all. Furthermore, the technology for our products is new, and the performance and ultimate carbon footprint of these products is uncertain. The market for carbon-negative products is nascent and subject to significant risks and uncertainties.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Market acceptance of our products will depend on numerous factors, many of which are outside of our control, including, among others:</w:t>
      </w:r>
    </w:p>
    <w:p>
      <w:pPr>
        <w:spacing w:after="0" w:line="117" w:lineRule="exact"/>
        <w:rPr>
          <w:sz w:val="20"/>
          <w:szCs w:val="20"/>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acceptance of such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products of consistent quality that offer functionality comparable or superior to existing or new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products fit for their intended purpose;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new products or customizations of existing products to match changes in public demand;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necessary regulatory approvals for our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at which potential customers qualify our products for use in their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compared to competitive and alternative products, including petroleum- based plastics;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reaction of companies that market competitive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who support or control distribution channels;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fluctuating demand for our products.</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we may lose market share to producers of products that can be substituted for our products, which may have an adverse effect on our results of operations and financial condition.</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specialty chemicals industry is highly competitive, and we face significant competition from both large established producers of fossil-based materials, recycled fossil-based materials and a variety of current and future producers of low-carbon, biodegradable, or renewable resource-based materials. Many of our current competitors have longer operating histories, greater name recognition, larger customer bases and significantly greater financial, sales and marketing, manufacturing, distribution, technical and other resources than us. Our competitors may be able to adapt more quickly to new or emerging technologies, changes in customer requirements and changes in laws and regulations.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competitors may also improve their relative competitive position by successfully introducing new products or products that can be substituted for our products, improving their manufacturing processes, or expanding their capacity or manufacturing capabilities. Further, if our competitors are able to compete at advantageous cost positions, this could make it increasingly difficult for us to compete in markets for less-differentiated applications. If we are unable to keep pace with our competitors’ product and manufacturing process innovations or cost position, it could harm our results of operations,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and results of operations.</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inflation and supply disruption. A domestic or global financial crisis can cause extreme volatility and disruptions in the capital and credit markets. A severe or prolonged economic downturn, which could result from an event like the COVID-19 pandemic or the global sanctions imposed against Russia following its military intervention in Ukraine, could result in a variety of risks to our business, including our inability to purchase necessary supplies on acceptable terms, if at all, and our inability to raise additional capital when needed on acceptable terms, if at all. A weak or declining economy could strain our suppliers, possibly resulting in supply disruption, or cause delays in payments for our services by third-party payers or our collaborators. Any of the foregoing could harm our business and we cannot anticipate all of the ways in which the current economic climate and financial market conditions could adversely impact our business.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as a result of a variety of factors, many of which are outside of our control.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among other things, the following factors that may negatively affect our operating results:</w:t>
      </w:r>
    </w:p>
    <w:p>
      <w:pPr>
        <w:spacing w:after="0" w:line="117" w:lineRule="exact"/>
        <w:rPr>
          <w:sz w:val="20"/>
          <w:szCs w:val="20"/>
          <w:color w:val="auto"/>
        </w:rPr>
      </w:pPr>
    </w:p>
    <w:p>
      <w:pPr>
        <w:ind w:left="5540" w:right="5320" w:hanging="5046"/>
        <w:spacing w:after="0" w:line="641" w:lineRule="auto"/>
        <w:tabs>
          <w:tab w:leader="none" w:pos="81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announcement or introduction of new products by our competitors;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5" w:name="page56"/>
    <w:bookmarkEnd w:id="55"/>
    <w:p>
      <w:pPr>
        <w:ind w:left="820" w:hanging="326"/>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develop our systems and infrastructure to accommodate growth;</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in a timely and cost-effective manner;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 and retain existing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relating to the expansion of our business, operations and infrastructure;</w:t>
      </w:r>
    </w:p>
    <w:p>
      <w:pPr>
        <w:spacing w:after="0" w:line="117" w:lineRule="exact"/>
        <w:rPr>
          <w:rFonts w:ascii="Times New Roman" w:cs="Times New Roman" w:eastAsia="Times New Roman" w:hAnsi="Times New Roman"/>
          <w:sz w:val="18"/>
          <w:szCs w:val="18"/>
          <w:color w:val="auto"/>
        </w:rPr>
      </w:pPr>
    </w:p>
    <w:p>
      <w:pPr>
        <w:ind w:left="820" w:right="280" w:hanging="326"/>
        <w:spacing w:after="0" w:line="28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relationships with appropriate and qualified third-party providers of necessary testing and manufacturing services;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by federal, state or local governments; and</w:t>
      </w:r>
    </w:p>
    <w:p>
      <w:pPr>
        <w:spacing w:after="0" w:line="117" w:lineRule="exact"/>
        <w:rPr>
          <w:rFonts w:ascii="Times New Roman" w:cs="Times New Roman" w:eastAsia="Times New Roman" w:hAnsi="Times New Roman"/>
          <w:sz w:val="18"/>
          <w:szCs w:val="18"/>
          <w:color w:val="auto"/>
        </w:rPr>
      </w:pPr>
    </w:p>
    <w:p>
      <w:pPr>
        <w:ind w:left="820" w:right="40" w:hanging="326"/>
        <w:spacing w:after="0" w:line="266"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 to the plastics and fuels industries, and other industries related to compostable or biodegradable substitutes for non-biodegradable plastics, as well as changes to commodity prices to which prices in some of our contracts are indexed.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our limited operating history and the nature of the markets in which we compete, it is difficult for us to forecast our revenues or earnings accurately. We have based our anticipated future expense levels largely on our investment plans and estimates of future events, although certain of our expense levels will, to a large extent, become fixed. As a strategic response to changes in the competitive environment, we may from time to time make certain decisions concerning expenditures, pricing, service or marketing that could harm our business, results of operations and financial condition. Due to the foregoing factors, our revenues and operating results are difficult to forecast.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may be influenced by the price of petroleum relative to the price of non-fossil feedstocks.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commercial success may be influenced by the cost of our products relative to petroleum-based products. The cost of petroleum-based products is in part based on the price of petroleum, which is subject to historically fluctuating prices. Our production plans assume the use of timber and forest residues as feedstock, which historically have experienced low volatility relative to petroleum. If the price of bio-based feedstocks increases and/or the price of petroleum decreases, our products may be less competitive relative to petroleum-based products. A material decrease in the cost of conventional petroleum-based products may require a reduction in the prices of our products for them to remain attractive in the marketplace and may negatively impact our revenues.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or fluctuations in the costs of our raw materials may affect our cost structure.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price of raw materials may be impacted by external factors, including uncertainties associated with war, terrorist attacks, weather and natural disasters, health epidemics or pandemics (such as COVID-19), civil unrest, the effects of climate change or political instability, plant or production disruptions, strikes or other labor unrest, inflationary pressures, breakdown or degradation of transportation infrastructure used in the delivery of raw materials or changes in laws or regulations in any of the countries in which we have has significant suppliers.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currently use and plan to use local timber and forest residues as our primary raw materials. The cost of these raw materials is generally influenced by supply and demand factors, and our operating plans include assumptions that the timber and forest residues we intend to use as feedstock will be available at prices similar to historic levels with low volatility. As we continue to expand our production, we will increase our demand for timber and forest residues which may alter the anticipated stability in the costs of our raw materials and potentially drive an increase in the cost of such raw materials.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results of operations will be directly affected by the cost of raw materials. The cost of raw materials comprises a significant amount of our total cost of goods sold and, as a result, movements in the cost of raw materials, and in the cost of other inputs, will impact our profitability. Because a significant portion of our cost of goods sold is represented by these raw materials, our gross profit margins could be adversely affected by changes in the cost of these raw materials if we are unable to pass the increases on to our customers.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our raw material prices experience volatility, there can be no assurance that we can continue to recover raw material costs or retain customers in the future. As a result of our pricing actions, customers may become more likely to consider competitors’ products, some of which may be available at a lower cost. Significant loss of customers could adversely impact our results of operations, financial condition and cash flows.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raw material suppliers to perform their obligations under supply agreements, or our inability to replace or renew these agreements when they expire, could increase our cost for these materials, interrupt production or otherwise adversely affect our results of operations.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manufacturing processes use local timber and forest residues as our primary raw materials. However, we may be unable to secure agreements with local suppliers for the necessary amount of raw materials in certain circumstances. If we are required to obtain alternate sources for raw materials because a supplier is unwilling or unable to execute or perform under raw material supply agreements, if a supplier terminates its agreements with us, if a supplier is unable to meet increased demand as our commercial scale production expands, if we are unable to renew its contracts or if we are unable to obtain new long-term supply agreements to meet changing demand, we may not be able to obtain these raw materials in sufficient quantities, on economic terms, or in a timely manner, and we may not be able to enter into long-term supply agreements on terms as favorable to us, if at all. A lack of availability of raw materials could limit our production capabilities and prevent us from fulfilling customer orders, and therefore harm our results of operations and financial condition.</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our facilities, the construction of new facilities and the development and implementation of new manufacturing processes involve significant risks.</w:t>
      </w:r>
    </w:p>
    <w:p>
      <w:pPr>
        <w:spacing w:after="0" w:line="51"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Our facilities may require regular or periodic maintenance, upgrading, expansion, refurbishment or improvement. Any unexpected operational or mechanical failure, including failure associated with breakdowns and forced outages, could reduce our facilities’ production capacity below expected levels, which would reduce our production capabilities and ultimately our revenues. Unanticipated capital expenditures associated with maintaining, upgrading, expanding, repairing, refurbishing, or improving our facilities may also reduce our profitability. Our facilities may also be subject to unanticipated damage as a result of natural disasters, terrorist attacks or other events.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make any major modifications to our facilities, such modifications likely would result in substantial additional capital expenditures and could prolong the time necessary to bring the facility online. We may also choose to refurbish or upgrade our facilities based on our assessment that such activity will provide adequate financial returns. However, such activities require time for development and capital expenditures before commencement of commercial operations, and key assumptions underpinning a decision to make such an investment may prove incorrect, including assumptions regarding construction costs and timing, which could harm our business, financial condition, results of operations and cash flows.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construction of new manufacturing facilities entails a number of risks and assumptions, including the ability to begin production within the cost and timeframe estimated and to attract a sufficient number of skilled workers to meet the needs of the new facility. Additionally, our assessment of the projected benefits associated with the construction of new manufacturing facilities is subject to a number of estimates and assumptions, which in turn are subject to significant economic, competitive and other uncertainties that are beyond our control. If we experience delays or increased costs, our estimates and assumptions are incorrect, or other unforeseen events occur, our business, ability to supply customers, financial condition, results of operations and cash flows could be adversely impacted.</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Finally, we may not be successful or efficient in developing or implementing new production processes. Innovation in production processes involves significant expense and carries inherent risks, including difficulties in designing and developing new process technologies, development and production timing delays, lower than anticipated manufacturing yields, and product defects. Disruptions in the production process can also result from errors, defects in materials, delays in obtaining or revising operating permits and licenses, returns of product from customers, interruption in our supply of materials or resources, and disruptions at our facilities due to accidents, maintenance issues, or unsafe working conditions, all of which could affect the timing of production ramps and yields. Production issues can lead to increased costs and may affect our ability to meet product demand, which could adversely impact our business and results from operations.</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future strategic partners for continuing development of additional offtake and feedstock opportunities or tolling and downstream conversion of our products.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seek to develop additional strategic partnerships to increase feedstock supply and offtake amounts due to manufacturing constraints or capital costs required to develop our products. We may not be successful in our efforts to establish such strategic partnerships or other alternative arrangements for our products or technology because our research and development pipeline may be insufficient, our products may be deemed to be at too early of a stage of development for collaborative effort or third parties may not view our products as having the requisite potential to demonstrate commercial success.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7" w:name="page58"/>
    <w:bookmarkEnd w:id="57"/>
    <w:p>
      <w:pPr>
        <w:ind w:right="40"/>
        <w:spacing w:after="0" w:line="256"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our products, delay commercialization, reduce the scope of any sales or marketing activities or increase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develop additional products and our business, financial condition, results of operations and prospects may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rely heavily on future collaborative and supply chain partners.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have has entered into, and may enter into, strategic partnerships to develop and commercialize our current and future research and development programs with other companies to accomplish one or more of the following:</w:t>
      </w:r>
    </w:p>
    <w:p>
      <w:pPr>
        <w:spacing w:after="0" w:line="54" w:lineRule="exact"/>
        <w:rPr>
          <w:sz w:val="20"/>
          <w:szCs w:val="20"/>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capital, equipment and facilities;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funding for research and development programs, product development programs and commercialization activities;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expertise in relevant markets;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access to raw materials;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sales and marketing services or support;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conversion services and other supply chain support; and/or</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access to intellectual property and ensure freedom to operate.</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not be successful in establishing or maintaining suitable partnerships, and we may not be able to negotiate collaboration agreements having terms satisfactory to us, or at all. Failure to make or maintain these arrangements or a delay or failure in a collaborative partner’s performance under any such arrangements could harm our business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that may not be covered by insurance and could require us to pay substantial sums.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an inherent risk of, and adverse publicity associated with, product liability and other liability claims, whether or not such claims are valid. In addition, our customers are subject to product liability claims, and could seek contribution from us. A successful product liability claim or series of claims against us could adversely impact the specialty chemicals industry, our reputation or our financial condition or results of operations. Product liability insurance may not be available to us on commercially acceptable terms, or at all. Even if such insurance is available, product liability or other claims may exceed our insurance coverage limits. A successful product liability claim that exceeds our insurance coverage limits, for which we are not otherwise indemnified, could require us to pay substantial sums and could harm our business, financial condition or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may impact the availability of our facilities and, in addition, we may incur substantial costs to comply with climate change legislation and related regulatory initiatives.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Changing weather patterns and the increase in frequency of severe storms such as hurricanes and tornadoes could cause disruptions or the complete loss of our facilities or delay the construction of future facilities. In addition, climate change concerns, and changes in the regulation of such concerns, including greenhouse gas emissions, could also subject us to additional costs and restrictions, including increased energy and raw materials costs which could negatively impact our financial condition and results of operations. Climate change may also negatively impact the availability of our feedstock. The effects of climate change can not only adversely impact our operations, but also that of its suppliers and customers, and can lead to increased regulations and changes in consumer preferences, which could adversely affect our business, results of operations and financial condition.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extensive environmental, health and safety laws could require material expenditures, changes in our operations or site remediation.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hazardous materials in our production process, and our operations also produce hazardous waste. The manufacture, transportation and sale of our products can present potentially significant health and safety concerns and are also under increased public and governmental scrutiny. Our products are also used in a variety of applications that have specific regulatory requirements such as those relating to products that have contact with food or are used for medical applications.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Accordingly, our operations are subject to environmental, health and safety laws and regulations at the international, national, state and local level in multiple jurisdictions. These laws and regulations govern, among other things, air emissions, wastewater discharges, solid and hazardous waste management and disposal, occupational health and safety, including dust and noise control, site remediation programs and chemical use and management. Many of these laws and regulations have become more stringent over time and the costs of compliance with these requirements may increase, including costs associated with any necessary capital investments. In addition, our plants will require operating permits that are subject to renewal and, in some circumstances, revocation. The necessary permits may not be issued or continue in effect, and renewals of any issued permits may contain significant new requirements or restrictions. The nature of the specialty chemicals industry exposes us to risks of liability due to the use, production, management, storage, transportation and sale of materials that are heavily regulated or hazardous and can cause contamination or personal injury or damage if released into the environment.</w:t>
      </w:r>
    </w:p>
    <w:p>
      <w:pPr>
        <w:spacing w:after="0" w:line="18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Compliance with environmental laws and regulations generally increases the costs of transportation and storage of raw materials and finished products, as well as the costs of storage and disposal of wastes. We may incur substantial costs, including fines, damages, criminal or civil sanctions and remediation costs, or experience interruptions in our operations for violations arising under environmental laws, regulations or permit requirements. In addition, the market for bioplastics is heavily influenced by applicable federal, state and local government laws, regulations and policies as well as public perception. Changes in these laws, regulations and policies or how these laws, regulations and policies are implemented and enforced could cause the demand for bioplastics to decline and deter investment in the research and development of bioplastics. Concerns associated with bioplastics, including land usage, national security interests, deforestation, food crop usage and other environmental concerns, continue to receive legislative, industry and public attention. This attention could result in future legislation, regulation and/or administrative action that could adversely affect our business.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Furthermore, various petrochemical products, including plastics, have faced increased public scrutiny due to negative coverage of plastic waste in the environment, which has resulted in local, state, federal and foreign governments proposing and in some cases approving, restrictions or bans on the manufacture, consumption and disposal of certain petrochemical products. Although our products are intended to replace petrochemical products, increased regulation on the use of such products or other products in the specialty chemicals industry, whatever their scope or form, could increase our costs of production, impact overall consumption of our products or result in misdirected negative publicity. Any inability to address these requirements and any regulatory or policy changes could harm our business, financial condition and results of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could face criminal liability and other serious consequences for violations, which would harm our business.</w:t>
      </w:r>
    </w:p>
    <w:p>
      <w:pPr>
        <w:spacing w:after="0" w:line="5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U.S. domestic bribery statute contained in 18 U.S.C. § 201, the U.S. Travel Act, the USA PATRIOT Act and possibly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also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9" w:name="page60"/>
    <w:bookmarkEnd w:id="59"/>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plan may require us to source feedstock and supplies internationally, and foreign currency exchange rate fluctuations and changes to international trade agreements, tariffs, import and excise duties, taxes or other governmental rules and regulations could adversely affect our business, financial condition, results of operations and prospects.</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expansion model is global and we will need to source feedstock and supplies from suppliers around the world. In particular, our manufacturing process uses local timber and forest residues as our primary raw materials, which must be sourced locally. For the Origin 1 plant, this means we will need to source feedstock, as well as other supplies, from Canadian suppliers or arrange for transport of such feedstock and supplies into Canada. The U.S. federal government or other governmental bodies may propose changes to international trade agreements, tariffs, taxes and other government rules and regulations, and may impose sanctions limiting trade with other countries. If foreign currency exchange rates fluctuate or any restrictions or significant increases in costs or tariffs or sanctions are imposed related to feedstock and supplies sourced to our plants as a result of amendments to existing trade agreements or otherwise, this may increase our supply and shipping costs, resulting in potential decreased margins. We may expand our operations to countries with unstable governments that are subject to instability, corruption, changes in rules and regulations and other potential uncertainties that could harm our business, financial condition, results of operations and prospects. The extent to which our margins could decrease in response to any future tariffs is uncertain. We continue to evaluate the impact of trade agreements, as well as foreign currency exchange rate fluctuations and other recent changes in foreign trade policy on our supply chain, costs, sales and profitability. In addition, COVID-19 has resulted in increased travel restrictions and the extended shutdown of certain businesses throughout the world. The impact of COVID-19 on our business is uncertain at this time and will depend on future developments; however, prolonged closures in Canada, Europe, Asia and elsewhere may disrupt the operations of certain suppliers of feedstock and other supplies, which could, in turn, negatively impact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proprietary information and other intellectual property, and our failure to protect our intellectual property rights could harm our competitive advantages with respect to the use, manufacturing, sale or other commercialization of our processes, technologies and products, which may have an adverse effect on our results of operations and financial condition.</w:t>
      </w:r>
    </w:p>
    <w:p>
      <w:pPr>
        <w:spacing w:after="0" w:line="6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intend to make significant capital investments into the research and development of proprietary information and other intellectual property as we develop, improve and scale our processes, technologies and products, and failure to fund and make these investments, or underperformance of the technology funded by these investments, could severely impact our business, financial condition, results of operations and prospects.</w:t>
      </w:r>
    </w:p>
    <w:p>
      <w:pPr>
        <w:spacing w:after="0" w:line="17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If we fail to adequately protect our intellectual property rights, such failure could result in the reduction or loss of our competitive advantage. We may be unable to prevent third parties from using our proprietary information and other intellectual property without our authorization or from independently developing proprietary information and other intellectual property that is similar to ours, particularly in those countries where the laws do not protect our proprietary rights to the same degree as in the U.S or those countries where we do not have intellectual property rights protection. The use of our proprietary information and other intellectual property by others could reduce or eliminate competitive advantages that we have developed, potentially causing us to lose sales or actual or potential customers, or otherwise harm our business. If it becomes necessary for us to litigate to protect these rights, any proceedings could be burdensome and costly, could result in counterclaims challenging our intellectual property (including validity or enforceability) or accusing us of infringement, and we may not prevail.</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patent applications and issued patents may be practiced by third parties without our knowledge. Our competitors may also attempt to design around our patents or copy or otherwise obtain and use our proprietary information and other intellectual property. Moreover, our competitors may already hold or have applied for patents in the U.S. or abroad that, if enforced, could possibly prevail over our patent rights or otherwise limit our ability to manufacture, sell or otherwise commercialize one or more of our products in the U.S. or abroad. With respect to our pending patent applications, we may not be successful in securing issued patents, or the claims of such patents may be narrowed, any of which may limit our ability to protect inventions that these applications were intended to cover, which could harm our ability to prevent others from exploiting our technologies and commercializing products similar to our products. In addition, the expiration of a patent can result in increased competition with consequent erosion of profit margins.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0" w:name="page61"/>
    <w:bookmarkEnd w:id="60"/>
    <w:p>
      <w:pPr>
        <w:ind w:right="80"/>
        <w:spacing w:after="0" w:line="255" w:lineRule="auto"/>
        <w:rPr>
          <w:sz w:val="20"/>
          <w:szCs w:val="20"/>
          <w:color w:val="auto"/>
        </w:rPr>
      </w:pPr>
      <w:r>
        <w:rPr>
          <w:rFonts w:ascii="Times New Roman" w:cs="Times New Roman" w:eastAsia="Times New Roman" w:hAnsi="Times New Roman"/>
          <w:sz w:val="18"/>
          <w:szCs w:val="18"/>
          <w:color w:val="auto"/>
        </w:rPr>
        <w:t>The applicable governmental authorities may not approve our pending service mark and trademark applications. A failure to obtain trademark registrations in the U.S. and in other countries could limit our ability to obtain and retain our trademarks in those jurisdictions. Moreover, third parties may seek to oppose our applications or otherwise challenge the resulting registrations. In the event that our trademarks are not approved or are successfully challenged by third parties, we could be forced to rebrand our products, which could result in loss of brand recognition and could require us to devote significant resources to rebranding and advertising and marketing new brands. The failure of our patents, trademarks, trade secrets, or confidentiality agreements to protect our proprietary information and other intellectual property, including our processes, apparatuses, technology, trade secrets, trade names and proprietary manufacturing expertise, methods and compounds, could have a material adverse effect on our business and results of operations.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Some of our intellectual property has been or will be discovered, conceived or developed through research funded by the Canadian government and thus may be subject to federal regulations providing for certain rights for the Canadian government or imposing certain obligations on us, such as limitations on exploiting such intellectual property outside of Canada. Compliance with such regulations may limit our exclusive rights and ability to commercialize our products and technology outside of Canada.</w:t>
      </w:r>
    </w:p>
    <w:p>
      <w:pPr>
        <w:spacing w:after="0" w:line="2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or technologies, which may cause us to incur significant unexpected costs, prevent us from commercializing our products and otherwise harm our business.</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various bioindustrial markets in which we plan to operate are subject to frequent and extensive litigation regarding patents, trade secrets and other intellectual property rights. Many of our competitors have a substantial amount of intellectual property. We cannot guarantee that our processes and products do not and will not infringe issued patents (whether present or future) or other intellectual property rights belonging to others.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time to time, we oppose third-party patents that we consider overbroad or otherwise invalid in order to maintain the necessary freedom to operate fully in our various business lines without the risk of being sued for patent infringement. If, however, the oppositions are unsuccessful, we could be liable for infringement or have to take other remedial or curative actions to continue our manufacturing and sales activities with respect to one or more products.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may also be subject to legal proceedings and claims in the ordinary course of our business, including claims of alleged infringement or misappropriation of the patents, trademarks, trade secrets and other intellectual property rights of third parties by us or our licensees in connection with their use of our products. Intellectual property litigation is expensive and time-consuming, regardless of the merits of any claim, and could divert our management’s attention from operating our business.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were to discover that our processes, technologies or products infringe or misappropriate the valid intellectual property rights of others, we might need to obtain licenses from these parties or substantially re-engineer our processes, technologies or products in order to avoid infringement. We may not be able to obtain the necessary licenses on acceptable terms, or at all, or be able to re-engineer our processes, technologies or products successfully. Moreover, if we or our licensees are sued for infringement or misappropriation and lose, we could be required to pay substantial damages, indemnify our licensees and/or be enjoined from using or selling the infringing processes, technologies or products. If we incur significant costs to litigate infringement or misappropriation claims or to obtain licenses, or if our inability to obtain required licenses prevents us from using or selling our processes, technologies or products, it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trade secrets to protect our technology, and our failure to maintain trade secret protection could limit our ability to compete.</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rely on trade secrets to protect some of our technology and proprietary information, especially where we believe patent protection is not appropriate or obtainable. However, trade secrets can be difficult to protect. The misappropriation or other compromise of our trade secrets may lead to a reduction or loss of our competitive advantages resulting from such trade secrets. Further, litigating a claim that a third party had misappropriated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ind w:right="200"/>
        <w:spacing w:after="0" w:line="258" w:lineRule="auto"/>
        <w:rPr>
          <w:sz w:val="20"/>
          <w:szCs w:val="20"/>
          <w:color w:val="auto"/>
        </w:rPr>
      </w:pPr>
      <w:r>
        <w:rPr>
          <w:rFonts w:ascii="Times New Roman" w:cs="Times New Roman" w:eastAsia="Times New Roman" w:hAnsi="Times New Roman"/>
          <w:sz w:val="18"/>
          <w:szCs w:val="18"/>
          <w:color w:val="auto"/>
        </w:rPr>
        <w:t>Our confidentiality agreements could be breached or may not provide meaningful protection for our trade secrets or proprietary manufacturing expertise. Adequate remedies may not be available in the event of an unauthorized use or disclosure of our trade secrets and manufacturing expertise. Violations by others of our confidentiality agreements and the loss of employees who have specialized knowledge and expertise could harm our competitive position resulting from the exclusive nature of such knowledge and expertise and cause our sales and operating results to decline as a result of increased competition. In addition, others may obtain knowledge of our trade secrets through independent development or other access by legal means.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executive officers have limited experience in the management of a publicly traded company subject to significant regulatory oversight and reporting obligations under federal securities laws. Our management team may not successfully or effectively manage our transition to a public company following the Business Combination.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United States. It is possible that we will be required to expand our employee base and hire additional employees to support our operations as a public company, which will increase our operating costs in future periods.</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management and key personnel, and our business would suffer if we fail to retain our key personnel and attract additional highly skilled employees.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success depends on the specialized skills of our management team and key operating personnel. This may present particular challenges as we operate in a highly specialized industry sector, which may make replacement of our management team and key operating personnel difficult. A loss of our managers or key employees, or their failure to satisfactorily perform their responsibilities, could have an adverse effect on our business, financial condition, results of operations and prospects.</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future success will depend on our ability to identify, hire, develop, motivate and retain highly qualified personnel for all areas of our organization, particularly research and development, recycling technology, operations and sales. Trained and experienced personnel are in high demand and may be in short supply. Many of the companies that we compete with for experienced employees have greater resources than us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will negatively impact our business, financial condition, results of operations and prospects.</w:t>
      </w:r>
    </w:p>
    <w:p>
      <w:pPr>
        <w:spacing w:after="0" w:line="29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(commonly known as processing) personal data and other sensitive information, including proprietary and confidential business data, trade secrets, and intellectual property. Our data processing activities subject us to various data privacy and security obligations, which can include laws, regulations, guidance, industry standards, external and internal privacy and security policies, contracts, and other obligations that govern the processing of personal data by us and on our behalf.</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2" w:name="page63"/>
    <w:bookmarkEnd w:id="62"/>
    <w:p>
      <w:pPr>
        <w:ind w:right="120"/>
        <w:spacing w:after="0" w:line="255"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the California Consumer Privacy Act of 2018 (“CCPA”) imposes obligations on businesses to which it applies, such as providing specific disclosures in privacy notices and affording California residents certain rights related to their personal data. In addition, it is anticipated that the California Privacy Rights Act of 2020 (“CPRA”), effective January 1, 2023, will expand the CCPA, including by establishing a new California Privacy Protection Agency to implement and enforce the CPRA. Other states have also enacted data privacy laws, including Virginia and Colorado. In addition, data privacy and security laws have been proposed at the federal, state, and local levels in recent years, which could further complicate compliance efforts.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GDPR (“UK GDPR”) impose strict requirements for processing the personal data of individuals located in the European Economic Area (“EEA”) and the UK, respectively. For example, under the EU GDPR, government regulators may impose temporary or definitive bans on data processing, as well as fines of up to 20.0 million euros or 4% of annual global revenue, whichever is greater. Additionally, in Canada, the Personal Information Protection and Electronic Documents Act (“PIPEDA”) and various related provincial laws, as well as Canada’s Anti-Spam Legislation (“CASL”), may apply to our operations. We also target customers in Asia, and may be subject to new and emerging data privacy regimes in Asia, such as China’s Personal Information Protection Law, Japan’s Act on the Protection of Personal Information, and Singapore’s Personal Data Protection Act.</w:t>
      </w:r>
    </w:p>
    <w:p>
      <w:pPr>
        <w:spacing w:after="0" w:line="1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certain jurisdictions have enacted data localization laws and cross-border personal data transfer laws, which could make it more difficult to transfer information across jurisdictions (such as transferring or receiving personal data that originates in Europe or other jurisdictions). Existing mechanisms that may facilitate cross-border personal data transfers may change or be invalidated.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may require us to devote significant resources (including, without limitation, financial and time-related resources). These obligations may necessitate changes to our information technologies, systems, and practices and to those of any third parties that process personal data on our behalf.</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interruptions in our ability to operate our business and proceedings against us by governmental entities or others.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ind w:right="3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and other adverse consequences.</w:t>
      </w:r>
    </w:p>
    <w:p>
      <w:pPr>
        <w:spacing w:after="0" w:line="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process proprietary, confidential, and sensitive data, including personal data, intellectual property, and trade secrets (collectively, sensitive information). We may rely upon third-party service providers and technologies to operate critical business systems to process sensitive information in a variety of context, including, without limitation, third-party providers of cloud-based infrastructure, encryption and authentication technology, employee email, content delivery to customers, manufacturing processing, process orders and invoices, payments, inventory management and other functions. We also depend on these systems to respond to customer inquiries, support our overall internal control process, maintain property, plant and equipment records, and pay amounts due to vendors and other creditors.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Ransomware attacks, including those perpetrated by organized criminal threat actors, nation-states, and nation-state-supported actors, are becoming increasingly prevalent and severe – particularly for companies like ours that are engaged in manufacturing –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 COVID-19 pandemic and our remote workforce poses increased risks to our information technology systems and sensitive information, as more of our employees work from home, utilizing network connections outside our premises. 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w:t>
      </w:r>
    </w:p>
    <w:p>
      <w:pPr>
        <w:spacing w:after="0" w:line="1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Despite our efforts to identify and remediate vulnerabilities, if any, in our information technology systems, our efforts may not be successful.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64" w:name="page65"/>
    <w:bookmarkEnd w:id="64"/>
    <w:p>
      <w:pPr>
        <w:spacing w:after="0" w:line="254"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deter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that such coverage will continue to be available on commercially reasonable terms or at all, or that such coverage will pay future claims.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Shares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subject to limited exceptions, that the Delaware Court of Chancery is the sole and exclusive forum for certain stockholder litigation matters, which could limit our stockholders’ ability to obtain a chosen judicial forum for disputes with us or our directors, officers, employees or stockholders.</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directors, officers and employees for breach of fiduciary duty and other similar actions may be brought in the Delaware Court of Chancery or, if that court lacks subject matter jurisdiction, another federal or state court situated in the State of Delaware. Any person or entity purchasing or otherwise acquiring any interest in shares of our capital stock shall be deemed to have notice of and consented to the forum provisions in our Certificate of Incorporation. In addition, our Certificate of Incorporation provides that the federal district courts of the United States shall be the exclusive forum for the resolution of any complaint asserting a cause of action under the Securities Act.</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of its choosing for disputes with us or any of our directors, officers, other employees or stockholders, which may discourage lawsuits with respect to such claims.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prevent a takeover that stockholders consider favorable and could also reduce the market price of our stock.</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in control of us. These provisions could also make it more difficult for stockholders to elect directors and take other corporate actions. These provisions include:</w:t>
      </w:r>
    </w:p>
    <w:p>
      <w:pPr>
        <w:spacing w:after="0" w:line="54" w:lineRule="exact"/>
        <w:rPr>
          <w:sz w:val="20"/>
          <w:szCs w:val="20"/>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providing for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Preferred Stock with voting or other rights or preferences that could discourage a takeover attempt or delay changes in control;</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17"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vacancies on our board of directors may generally be filled only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jc w:val="both"/>
        <w:ind w:left="820" w:right="320" w:hanging="326"/>
        <w:spacing w:after="0" w:line="312" w:lineRule="auto"/>
        <w:tabs>
          <w:tab w:leader="none" w:pos="8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the adoption, amendment or repeal of the Bylaws or the repeal of the provisions of our Certificate of Incorporation regarding the election and removal of directors without the required approval of at least two-thirds of the shares entitled to vote at an election of directors;</w:t>
      </w:r>
    </w:p>
    <w:p>
      <w:pPr>
        <w:spacing w:after="0" w:line="31"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5" w:name="page66"/>
    <w:bookmarkEnd w:id="65"/>
    <w:p>
      <w:pPr>
        <w:ind w:right="100"/>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the provisions of Section 203 of the General Corporation Law of the State of Delaware (“DGCL”) will govern us. These provisions may prohibit large stockholders, in particular those owning 15% or more of our outstanding voting stock, from merging or combining with us for a certain period of time without the consent of our Board. These and other provisions in our Certificate of Incorporation and our Bylaws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we will indemnify our directors and officers, in each case to the fullest extent permitted by Delaware law.</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the Bylaws and its indemnification agreements that we entered into with our directors and officers provide that:</w:t>
      </w:r>
    </w:p>
    <w:p>
      <w:pPr>
        <w:spacing w:after="0" w:line="54" w:lineRule="exact"/>
        <w:rPr>
          <w:sz w:val="20"/>
          <w:szCs w:val="20"/>
          <w:color w:val="auto"/>
        </w:rPr>
      </w:pPr>
    </w:p>
    <w:p>
      <w:pPr>
        <w:ind w:left="820" w:right="340" w:hanging="326"/>
        <w:spacing w:after="0" w:line="250"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ind w:left="820" w:right="180" w:hanging="326"/>
        <w:spacing w:after="0" w:line="312" w:lineRule="auto"/>
        <w:tabs>
          <w:tab w:leader="none" w:pos="81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820" w:right="400" w:hanging="32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Bylaws to indemnify a person with respect to proceedings initiated by that person against us or our other indemnities, except with respect to proceedings authorized by our Board or brought to enforce a right to indemnification;</w:t>
      </w:r>
    </w:p>
    <w:p>
      <w:pPr>
        <w:spacing w:after="0" w:line="5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Bylaw provisions to reduce our indemnification obligations to directors, officers, employees and agents.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has never declared or paid any cash dividends on our capital stock and do not intend to pay any cash dividends in the foreseeable future. We expect to retain future earnings, if any, to fund the development and growth of our business. Any future determination to pay dividends on our capital stock will be at the discretion of our Board. In addition, our loan agreements contain restrictions on our ability to pay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could decline significantly.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stock markets, including Nasdaq on which we have listed the shares of our Common Stock under the symbol “ORGN,” have from time to time experienced significant price and volume fluctuations. Even if an active, liquid and orderly trading market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at which your purchased our Common Stock. We cannot assure you that the market price of Common Stock will not fluctuate widely or decline significantly in the future in response to a number of factors, including, among others, the following:</w:t>
      </w:r>
    </w:p>
    <w:p>
      <w:pPr>
        <w:spacing w:after="0" w:line="79" w:lineRule="exact"/>
        <w:rPr>
          <w:sz w:val="20"/>
          <w:szCs w:val="20"/>
          <w:color w:val="auto"/>
        </w:rPr>
      </w:pPr>
    </w:p>
    <w:p>
      <w:pPr>
        <w:ind w:left="820" w:hanging="326"/>
        <w:spacing w:after="0"/>
        <w:tabs>
          <w:tab w:leader="none" w:pos="8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6" w:name="page67"/>
    <w:bookmarkEnd w:id="66"/>
    <w:p>
      <w:pPr>
        <w:ind w:left="820" w:right="120" w:hanging="326"/>
        <w:spacing w:after="0" w:line="266"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revenues, results of operations, level of indebtedness, liquidity or financial condition;</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our securities;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(including the ongoing COVID-19 public health emergency), natural disasters, war, acts of terrorism or responses to these events.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operating results may fluctuate significantly because of several factors, including:</w:t>
      </w:r>
    </w:p>
    <w:p>
      <w:pPr>
        <w:spacing w:after="0" w:line="117" w:lineRule="exact"/>
        <w:rPr>
          <w:sz w:val="20"/>
          <w:szCs w:val="20"/>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costs for hourly and management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of our products;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such as inflation and increasing interest rates, which may increase the risk of a potential recession;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products we serve;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competitive conditions;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new markets;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commodity prices.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our Common Stock adversely, then the price and trading volume of our Common Stock could decline.</w:t>
      </w: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67" w:name="page68"/>
    <w:bookmarkEnd w:id="67"/>
    <w:p>
      <w:pPr>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Accordingly, we must maintain confidence among current and future analysts, ratings agencies and other parties in our long-term financial viability and business prospects. Maintaining such confidence may be particularly complicated by certain factors including those that are largely outside of our control, such as limited operating history, market unfamiliarity, any delays in scaling manufacturing to meet demand and our eventual production and sales performance compared with the market expectations. If any of the analysts who may cover us change their recommendation regarding our Common Stock adversely, or provide more favorable relative recommendations about our competitors, the price of our Common Stock would likely decline. If any analyst who may cover us were to cease coverage of the us or fail to regularly publish reports on us, we could lose visibility in the financial markets, which could cause our stock price or trading volume to decline.</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and equity securities may adversely affect us, including the market price of the our Common Stock and may be dilutive to existing stockholders.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future, we may incur debt or issue equity-ranking senior to our Common Stock. Those securities will generally have priority upon liquidation. Such securities also may be governed by an indenture or other instrument containing covenants restricting its operating flexibility. 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Common Stock and the public warrants that were issued in connection with Artius’ initial public offering (the “Public Warrants”) are currently listed on Nasdaq. If Nasdaq delists our securities from trading on its exchange for failure to meet the listing standards, we and our stockholders could face significant material adverse consequences including:</w:t>
      </w:r>
    </w:p>
    <w:p>
      <w:pPr>
        <w:spacing w:after="0" w:line="68" w:lineRule="exact"/>
        <w:rPr>
          <w:sz w:val="20"/>
          <w:szCs w:val="20"/>
          <w:color w:val="auto"/>
        </w:rPr>
      </w:pPr>
    </w:p>
    <w:p>
      <w:pPr>
        <w:ind w:left="820" w:hanging="326"/>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 or</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share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Common Stock and Public Warrants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an “emerging growth company” and will be required to comply with certain provisions of the Sarbanes-Oxley Act and can no longer take advantage of reduced disclosure requirements.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Based on the market value of our common stock held by non-affiliates as of June 30, 2021, we no longer qualify as an “emerging growth company” as defined in the Jumpstart Our Business Startups Act, or the JOBS Act, as of the year following December 31, 2021. As a result, we may incur additional and increasing costs to comply with our reporting and other obligations that we had not historically incurred due to our status as an emerging growth company or as a smaller reporting company. These additional obligations will require us to dedicate internal resources,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could cause the price of our common stock to decline.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any time, sales of a substantial number of shares of our common stock in the public market could occur, or there could be a perception in the market that the holders of a large number of shares of common stock intend to sell shares, and any such event could reduce the market price of our common stock. Substantially all of the shares of our common stock outstanding and shares issued upon the exercise of stock options outstanding under our equity incentive plans, subject to applicable securities law restrictions and excluding shares of restricted stock that will remain unvested, may be able to be sold in the public market. We are unable to predict the effect that sales may have on the prevailing market price of Common Stock and Public Warrants.</w:t>
      </w:r>
    </w:p>
    <w:p>
      <w:pPr>
        <w:spacing w:after="0" w:line="18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To the extent our Warrants are exercised, additional shares of Common Stock will be issued, which will result in dilution to the holders of Common Stock and increase the number of shares eligible for resale in the public market. Sales, or the potential sales, of substantial numbers of shares in the public market by the selling securityholders could increase the volatility of the market price of Common Stock or adversely affect the market price of Common Stock.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Warrants will be in the money at the time they become exercisable, and they may expire worthless.</w:t>
      </w:r>
    </w:p>
    <w:p>
      <w:pPr>
        <w:spacing w:after="0" w:line="121"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The exercise price for our Warrants is $11.50 per share of Common Stock. There is no guarantee that the Warrants will be in the money following the time they become exercisable and prior to their expiration, and as such, the Warrants may expire worthless. Our Warrants became exercisable on July 25, 2021.</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Common Stock purchasable upon exercise of a Warrant could be decreased, all without your approval.</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9" w:name="page70"/>
    <w:bookmarkEnd w:id="69"/>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such Warrants worthless.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we may redeem your Warrants after they become exercisable for a number of shares of Common Stock determined based on the redemption date and the fair market value of our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Common Stock had your Warrants remained outstanding.</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your approval, which would dilute your ownership interests and may depress the market price of the Common Stock.</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September 30, 2022 we have Warrants outstanding to purchase an aggregate of 35,476,627 shares of Common Stock. Pursuant to the Merger Agreement, we may issue up to 25,000,000 shares of our Common Stock as Earnout Shares. In addition, pursuant to the 2021 Plan and the ESPP, we may issue an aggregate of up to 27,846,011 shares of Common Stock, which amount is subject to increase from time to time. We may also issue additional shares of Common Stock or other equity securities of equal or senior rank in the future in connection with, among other things, future acquisitions or repayment of outstanding indebtedness, without stockholder approval, in a number of circumstances. The issuance of additional shares or other equity securities of equal or senior rank would have the following effects:</w:t>
      </w:r>
    </w:p>
    <w:p>
      <w:pPr>
        <w:spacing w:after="0" w:line="79" w:lineRule="exact"/>
        <w:rPr>
          <w:sz w:val="20"/>
          <w:szCs w:val="20"/>
          <w:color w:val="auto"/>
        </w:rPr>
      </w:pPr>
    </w:p>
    <w:p>
      <w:pPr>
        <w:ind w:left="820" w:hanging="326"/>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Common Stock may be diminished;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may decline.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3.Defaults upon senior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960" w:type="dxa"/>
            <w:vAlign w:val="bottom"/>
            <w:gridSpan w:val="9"/>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vMerge w:val="restart"/>
          </w:tcPr>
          <w:p>
            <w:pPr>
              <w:spacing w:after="0"/>
              <w:rPr>
                <w:sz w:val="10"/>
                <w:szCs w:val="10"/>
                <w:color w:val="auto"/>
              </w:rPr>
            </w:pPr>
          </w:p>
        </w:tc>
        <w:tc>
          <w:tcPr>
            <w:tcW w:w="1140" w:type="dxa"/>
            <w:vAlign w:val="bottom"/>
            <w:vMerge w:val="restart"/>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vMerge w:val="restart"/>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1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Amended and Restated Certificate of Incorporation of the</w:t>
              </w:r>
            </w:hyperlink>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vMerge w:val="restart"/>
          </w:tcPr>
          <w:p>
            <w:pPr>
              <w:jc w:val="center"/>
              <w:ind w:left="156"/>
              <w:spacing w:after="0"/>
              <w:rPr>
                <w:sz w:val="20"/>
                <w:szCs w:val="20"/>
                <w:color w:val="auto"/>
              </w:rPr>
            </w:pPr>
            <w:r>
              <w:rPr>
                <w:rFonts w:ascii="Times New Roman" w:cs="Times New Roman" w:eastAsia="Times New Roman" w:hAnsi="Times New Roman"/>
                <w:sz w:val="18"/>
                <w:szCs w:val="18"/>
                <w:color w:val="auto"/>
                <w:w w:val="99"/>
              </w:rPr>
              <w:t>001-39378</w:t>
            </w:r>
          </w:p>
        </w:tc>
        <w:tc>
          <w:tcPr>
            <w:tcW w:w="1360" w:type="dxa"/>
            <w:vAlign w:val="bottom"/>
            <w:gridSpan w:val="3"/>
            <w:vMerge w:val="restart"/>
          </w:tcPr>
          <w:p>
            <w:pPr>
              <w:jc w:val="center"/>
              <w:ind w:left="236"/>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July 1, 2021</w:t>
            </w: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109">
              <w:r>
                <w:rPr>
                  <w:rFonts w:ascii="Times New Roman" w:cs="Times New Roman" w:eastAsia="Times New Roman" w:hAnsi="Times New Roman"/>
                  <w:sz w:val="18"/>
                  <w:szCs w:val="18"/>
                  <w:color w:val="0000FF"/>
                  <w:w w:val="96"/>
                </w:rPr>
                <w:t>Company.</w:t>
              </w:r>
            </w:hyperlink>
          </w:p>
        </w:tc>
        <w:tc>
          <w:tcPr>
            <w:tcW w:w="34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Bylaws of the Company.</w:t>
              </w:r>
            </w:hyperlink>
          </w:p>
        </w:tc>
        <w:tc>
          <w:tcPr>
            <w:tcW w:w="3060" w:type="dxa"/>
            <w:vAlign w:val="bottom"/>
            <w:gridSpan w:val="10"/>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156"/>
              <w:spacing w:after="0"/>
              <w:rPr>
                <w:sz w:val="20"/>
                <w:szCs w:val="20"/>
                <w:color w:val="auto"/>
              </w:rPr>
            </w:pPr>
            <w:r>
              <w:rPr>
                <w:rFonts w:ascii="Times New Roman" w:cs="Times New Roman" w:eastAsia="Times New Roman" w:hAnsi="Times New Roman"/>
                <w:sz w:val="18"/>
                <w:szCs w:val="18"/>
                <w:color w:val="auto"/>
                <w:w w:val="99"/>
              </w:rPr>
              <w:t>001-39378</w:t>
            </w:r>
          </w:p>
        </w:tc>
        <w:tc>
          <w:tcPr>
            <w:tcW w:w="1360" w:type="dxa"/>
            <w:vAlign w:val="bottom"/>
            <w:gridSpan w:val="3"/>
          </w:tcPr>
          <w:p>
            <w:pPr>
              <w:jc w:val="center"/>
              <w:ind w:left="236"/>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2021</w:t>
            </w:r>
          </w:p>
        </w:tc>
        <w:tc>
          <w:tcPr>
            <w:tcW w:w="0" w:type="dxa"/>
            <w:vAlign w:val="bottom"/>
          </w:tcPr>
          <w:p>
            <w:pPr>
              <w:spacing w:after="0"/>
              <w:rPr>
                <w:sz w:val="1"/>
                <w:szCs w:val="1"/>
                <w:color w:val="auto"/>
              </w:rPr>
            </w:pPr>
          </w:p>
        </w:tc>
      </w:tr>
      <w:tr>
        <w:trPr>
          <w:trHeight w:val="23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Co-Principal Executive Officer pursuant to Rules</w:t>
            </w:r>
          </w:p>
        </w:tc>
        <w:tc>
          <w:tcPr>
            <w:tcW w:w="140" w:type="dxa"/>
            <w:vAlign w:val="bottom"/>
            <w:gridSpan w:val="2"/>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promulgated under the Securities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1580" w:type="dxa"/>
            <w:vAlign w:val="bottom"/>
            <w:tcBorders>
              <w:top w:val="single" w:sz="8" w:color="0000FF"/>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Co-Principal Executive Officer pursuant to Rules</w:t>
            </w:r>
          </w:p>
        </w:tc>
        <w:tc>
          <w:tcPr>
            <w:tcW w:w="140" w:type="dxa"/>
            <w:vAlign w:val="bottom"/>
            <w:gridSpan w:val="2"/>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promulgated under the Securities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1580" w:type="dxa"/>
            <w:vAlign w:val="bottom"/>
            <w:tcBorders>
              <w:top w:val="single" w:sz="8" w:color="0000FF"/>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w:t>
            </w:r>
          </w:p>
        </w:tc>
        <w:tc>
          <w:tcPr>
            <w:tcW w:w="460" w:type="dxa"/>
            <w:vAlign w:val="bottom"/>
            <w:gridSpan w:val="5"/>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promulgated under the Securities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1580" w:type="dxa"/>
            <w:vAlign w:val="bottom"/>
            <w:tcBorders>
              <w:top w:val="single" w:sz="8" w:color="0000FF"/>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Co-Principal Executive Officers and Principal</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 adopted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160" w:type="dxa"/>
            <w:vAlign w:val="bottom"/>
            <w:gridSpan w:val="3"/>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3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4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240" w:right="5340" w:hanging="807"/>
        <w:spacing w:after="0" w:line="282" w:lineRule="auto"/>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and shall not be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to be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5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ORIGIN MATERIALS, INC.</w:t>
            </w:r>
          </w:p>
        </w:tc>
      </w:tr>
      <w:tr>
        <w:trPr>
          <w:trHeight w:val="53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Bissell</w:t>
            </w:r>
          </w:p>
        </w:tc>
      </w:tr>
      <w:tr>
        <w:trPr>
          <w:trHeight w:val="243"/>
        </w:trPr>
        <w:tc>
          <w:tcPr>
            <w:tcW w:w="36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Bissell</w:t>
            </w:r>
          </w:p>
        </w:tc>
      </w:tr>
      <w:tr>
        <w:trPr>
          <w:trHeight w:val="257"/>
        </w:trPr>
        <w:tc>
          <w:tcPr>
            <w:tcW w:w="36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53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 Riley</w:t>
            </w:r>
          </w:p>
        </w:tc>
      </w:tr>
      <w:tr>
        <w:trPr>
          <w:trHeight w:val="243"/>
        </w:trPr>
        <w:tc>
          <w:tcPr>
            <w:tcW w:w="36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 Riley</w:t>
            </w:r>
          </w:p>
        </w:tc>
      </w:tr>
      <w:tr>
        <w:trPr>
          <w:trHeight w:val="257"/>
        </w:trPr>
        <w:tc>
          <w:tcPr>
            <w:tcW w:w="36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53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8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Nate Whaley</w:t>
            </w:r>
          </w:p>
        </w:tc>
      </w:tr>
      <w:tr>
        <w:trPr>
          <w:trHeight w:val="243"/>
        </w:trPr>
        <w:tc>
          <w:tcPr>
            <w:tcW w:w="36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Nate Whaley</w:t>
            </w:r>
          </w:p>
        </w:tc>
      </w:tr>
      <w:tr>
        <w:trPr>
          <w:trHeight w:val="257"/>
        </w:trPr>
        <w:tc>
          <w:tcPr>
            <w:tcW w:w="36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18"/>
        </w:trPr>
        <w:tc>
          <w:tcPr>
            <w:tcW w:w="3640" w:type="dxa"/>
            <w:vAlign w:val="bottom"/>
          </w:tcPr>
          <w:p>
            <w:pPr>
              <w:spacing w:after="0"/>
              <w:rPr>
                <w:sz w:val="24"/>
                <w:szCs w:val="24"/>
                <w:color w:val="auto"/>
              </w:rPr>
            </w:pPr>
          </w:p>
        </w:tc>
        <w:tc>
          <w:tcPr>
            <w:tcW w:w="28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68</w:t>
            </w:r>
          </w:p>
        </w:tc>
        <w:tc>
          <w:tcPr>
            <w:tcW w:w="4700" w:type="dxa"/>
            <w:vAlign w:val="bottom"/>
          </w:tcPr>
          <w:p>
            <w:pPr>
              <w:spacing w:after="0"/>
              <w:rPr>
                <w:sz w:val="24"/>
                <w:szCs w:val="24"/>
                <w:color w:val="auto"/>
              </w:rPr>
            </w:pPr>
          </w:p>
        </w:tc>
      </w:tr>
    </w:tbl>
    <w:p>
      <w:pPr>
        <w:sectPr>
          <w:pgSz w:w="11900" w:h="16838" w:orient="portrait"/>
          <w:cols w:equalWidth="0" w:num="1">
            <w:col w:w="11240"/>
          </w:cols>
          <w:pgMar w:left="320" w:top="1359"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Bissell, certify that:</w:t>
      </w:r>
    </w:p>
    <w:p>
      <w:pPr>
        <w:spacing w:after="0" w:line="225" w:lineRule="exact"/>
        <w:rPr>
          <w:sz w:val="20"/>
          <w:szCs w:val="20"/>
          <w:color w:val="auto"/>
        </w:rPr>
      </w:pPr>
    </w:p>
    <w:p>
      <w:pPr>
        <w:ind w:left="160" w:hanging="152"/>
        <w:spacing w:after="0"/>
        <w:tabs>
          <w:tab w:leader="none" w:pos="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Origin Materials, Inc.;</w:t>
      </w:r>
    </w:p>
    <w:p>
      <w:pPr>
        <w:spacing w:after="0" w:line="225"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right="180" w:hanging="172"/>
        <w:spacing w:after="0" w:line="266"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John Bissell</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Bissell</w:t>
            </w:r>
          </w:p>
        </w:tc>
      </w:tr>
      <w:tr>
        <w:trPr>
          <w:trHeight w:val="229"/>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92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 Riley, certify that:</w:t>
      </w:r>
    </w:p>
    <w:p>
      <w:pPr>
        <w:spacing w:after="0" w:line="225" w:lineRule="exact"/>
        <w:rPr>
          <w:sz w:val="20"/>
          <w:szCs w:val="20"/>
          <w:color w:val="auto"/>
        </w:rPr>
      </w:pPr>
    </w:p>
    <w:p>
      <w:pPr>
        <w:ind w:left="160" w:hanging="152"/>
        <w:spacing w:after="0"/>
        <w:tabs>
          <w:tab w:leader="none" w:pos="1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Origin Materials, Inc.;</w:t>
      </w:r>
    </w:p>
    <w:p>
      <w:pPr>
        <w:spacing w:after="0" w:line="225"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right="180" w:hanging="172"/>
        <w:spacing w:after="0" w:line="266"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6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Rich Riley</w:t>
            </w:r>
          </w:p>
        </w:tc>
      </w:tr>
      <w:tr>
        <w:trPr>
          <w:trHeight w:val="218"/>
        </w:trPr>
        <w:tc>
          <w:tcPr>
            <w:tcW w:w="37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 Riley</w:t>
            </w:r>
          </w:p>
        </w:tc>
      </w:tr>
      <w:tr>
        <w:trPr>
          <w:trHeight w:val="229"/>
        </w:trPr>
        <w:tc>
          <w:tcPr>
            <w:tcW w:w="3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3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92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Nate Whaley, certify that:</w:t>
      </w:r>
    </w:p>
    <w:p>
      <w:pPr>
        <w:spacing w:after="0" w:line="225" w:lineRule="exact"/>
        <w:rPr>
          <w:sz w:val="20"/>
          <w:szCs w:val="20"/>
          <w:color w:val="auto"/>
        </w:rPr>
      </w:pPr>
    </w:p>
    <w:p>
      <w:pPr>
        <w:ind w:left="160" w:hanging="152"/>
        <w:spacing w:after="0"/>
        <w:tabs>
          <w:tab w:leader="none" w:pos="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Origin Materials, Inc.;</w:t>
      </w:r>
    </w:p>
    <w:p>
      <w:pPr>
        <w:spacing w:after="0" w:line="225"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80" w:right="560" w:hanging="172"/>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80" w:right="180" w:hanging="172"/>
        <w:spacing w:after="0" w:line="266"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1"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80" w:right="300" w:hanging="172"/>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6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Nate Whaley</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Nate Whaley</w:t>
            </w:r>
          </w:p>
        </w:tc>
      </w:tr>
      <w:tr>
        <w:trPr>
          <w:trHeight w:val="229"/>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92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 1350), John Bissell, Co-Chief Executive Officer of Origin Materials, Inc. (the “Company”), Rich Riley, Co-Chief Executive Officer of the Company, and Nate Whaley, Chief Financial Officer of the Company, each hereby certifies that, to the best of their knowledge:</w:t>
      </w:r>
    </w:p>
    <w:p>
      <w:pPr>
        <w:spacing w:after="0" w:line="180" w:lineRule="exact"/>
        <w:rPr>
          <w:sz w:val="20"/>
          <w:szCs w:val="20"/>
          <w:color w:val="auto"/>
        </w:rPr>
      </w:pPr>
    </w:p>
    <w:p>
      <w:pPr>
        <w:ind w:left="980" w:right="120" w:hanging="486"/>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quarterly period ended September 30, 2022, to which this Certification is attached as Exhibit 32.1 (the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Bissell</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Bissell</w:t>
            </w:r>
          </w:p>
        </w:tc>
      </w:tr>
      <w:tr>
        <w:trPr>
          <w:trHeight w:val="229"/>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r>
        <w:trPr>
          <w:trHeight w:val="445"/>
        </w:trPr>
        <w:tc>
          <w:tcPr>
            <w:tcW w:w="3680" w:type="dxa"/>
            <w:vAlign w:val="bottom"/>
          </w:tcPr>
          <w:p>
            <w:pPr>
              <w:spacing w:after="0"/>
              <w:rPr>
                <w:sz w:val="24"/>
                <w:szCs w:val="24"/>
                <w:color w:val="auto"/>
              </w:rPr>
            </w:pP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 Riley</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 Riley</w:t>
            </w:r>
          </w:p>
        </w:tc>
      </w:tr>
      <w:tr>
        <w:trPr>
          <w:trHeight w:val="229"/>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r>
        <w:trPr>
          <w:trHeight w:val="445"/>
        </w:trPr>
        <w:tc>
          <w:tcPr>
            <w:tcW w:w="3680" w:type="dxa"/>
            <w:vAlign w:val="bottom"/>
          </w:tcPr>
          <w:p>
            <w:pPr>
              <w:spacing w:after="0"/>
              <w:rPr>
                <w:sz w:val="24"/>
                <w:szCs w:val="24"/>
                <w:color w:val="auto"/>
              </w:rPr>
            </w:pP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Nate Whaley</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Nate Whaley</w:t>
            </w:r>
          </w:p>
        </w:tc>
      </w:tr>
      <w:tr>
        <w:trPr>
          <w:trHeight w:val="230"/>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9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10-Q to which it relates, is not deemed filed with the Securities and Exchange Commission and is not to be incorporated by reference into any filing of Origin Materials,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1"/>
      <w:numFmt w:val="decimal"/>
      <w:start w:val="488"/>
    </w:lvl>
  </w:abstractNum>
  <w:abstractNum w:abstractNumId="3">
    <w:nsid w:val="4516DDE9"/>
    <w:multiLevelType w:val="hybridMultilevel"/>
    <w:lvl w:ilvl="0">
      <w:lvlJc w:val="left"/>
      <w:lvlText w:val="%1"/>
      <w:numFmt w:val="decimal"/>
      <w:start w:val="423"/>
    </w:lvl>
  </w:abstractNum>
  <w:abstractNum w:abstractNumId="4">
    <w:nsid w:val="3006C83E"/>
    <w:multiLevelType w:val="hybridMultilevel"/>
    <w:lvl w:ilvl="0">
      <w:lvlJc w:val="left"/>
      <w:lvlText w:val="\emdash "/>
      <w:numFmt w:val="bullet"/>
      <w:start w:val="1"/>
    </w:lvl>
  </w:abstractNum>
  <w:abstractNum w:abstractNumId="5">
    <w:nsid w:val="614FD4A1"/>
    <w:multiLevelType w:val="hybridMultilevel"/>
    <w:lvl w:ilvl="0">
      <w:lvlJc w:val="left"/>
      <w:lvlText w:val="\emdash "/>
      <w:numFmt w:val="bullet"/>
      <w:start w:val="1"/>
    </w:lvl>
  </w:abstractNum>
  <w:abstractNum w:abstractNumId="6">
    <w:nsid w:val="419AC241"/>
    <w:multiLevelType w:val="hybridMultilevel"/>
    <w:lvl w:ilvl="0">
      <w:lvlJc w:val="left"/>
      <w:lvlText w:val="(%1)"/>
      <w:numFmt w:val="decimal"/>
      <w:start w:val="35"/>
    </w:lvl>
  </w:abstractNum>
  <w:abstractNum w:abstractNumId="7">
    <w:nsid w:val="5577F8E1"/>
    <w:multiLevelType w:val="hybridMultilevel"/>
    <w:lvl w:ilvl="0">
      <w:lvlJc w:val="left"/>
      <w:lvlText w:val="(%1)"/>
      <w:numFmt w:val="decimal"/>
      <w:start w:val="926"/>
    </w:lvl>
  </w:abstractNum>
  <w:abstractNum w:abstractNumId="8">
    <w:nsid w:val="440BADFC"/>
    <w:multiLevelType w:val="hybridMultilevel"/>
    <w:lvl w:ilvl="0">
      <w:lvlJc w:val="left"/>
      <w:lvlText w:val="(%1)"/>
      <w:numFmt w:val="decimal"/>
      <w:start w:val="338"/>
    </w:lvl>
  </w:abstractNum>
  <w:abstractNum w:abstractNumId="9">
    <w:nsid w:val="5072367"/>
    <w:multiLevelType w:val="hybridMultilevel"/>
    <w:lvl w:ilvl="0">
      <w:lvlJc w:val="left"/>
      <w:lvlText w:val="%1"/>
      <w:numFmt w:val="decimal"/>
      <w:start w:val="221"/>
    </w:lvl>
  </w:abstractNum>
  <w:abstractNum w:abstractNumId="10">
    <w:nsid w:val="3804823E"/>
    <w:multiLevelType w:val="hybridMultilevel"/>
    <w:lvl w:ilvl="0">
      <w:lvlJc w:val="left"/>
      <w:lvlText w:val="(%1)"/>
      <w:numFmt w:val="decimal"/>
      <w:start w:val="133"/>
    </w:lvl>
  </w:abstractNum>
  <w:abstractNum w:abstractNumId="11">
    <w:nsid w:val="77465F01"/>
    <w:multiLevelType w:val="hybridMultilevel"/>
    <w:lvl w:ilvl="0">
      <w:lvlJc w:val="left"/>
      <w:lvlText w:val="\emdash "/>
      <w:numFmt w:val="bullet"/>
      <w:start w:val="1"/>
    </w:lvl>
  </w:abstractNum>
  <w:abstractNum w:abstractNumId="12">
    <w:nsid w:val="7724C67E"/>
    <w:multiLevelType w:val="hybridMultilevel"/>
    <w:lvl w:ilvl="0">
      <w:lvlJc w:val="left"/>
      <w:lvlText w:val="%1"/>
      <w:numFmt w:val="decimal"/>
      <w:start w:val="37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2"/>
    </w:lvl>
  </w:abstractNum>
  <w:abstractNum w:abstractNumId="15">
    <w:nsid w:val="5E884ADC"/>
    <w:multiLevelType w:val="hybridMultilevel"/>
    <w:lvl w:ilvl="0">
      <w:lvlJc w:val="left"/>
      <w:lvlText w:val="%1."/>
      <w:numFmt w:val="decimal"/>
      <w:start w:val="3"/>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4"/>
    </w:lvl>
  </w:abstractNum>
  <w:abstractNum w:abstractNumId="19">
    <w:nsid w:val="153EA438"/>
    <w:multiLevelType w:val="hybridMultilevel"/>
    <w:lvl w:ilvl="0">
      <w:lvlJc w:val="left"/>
      <w:lvlText w:val="%1."/>
      <w:numFmt w:val="decimal"/>
      <w:start w:val="5"/>
    </w:lvl>
  </w:abstractNum>
  <w:abstractNum w:abstractNumId="20">
    <w:nsid w:val="3855585C"/>
    <w:multiLevelType w:val="hybridMultilevel"/>
    <w:lvl w:ilvl="0">
      <w:lvlJc w:val="left"/>
      <w:lvlText w:val="(%1)"/>
      <w:numFmt w:val="lowerRoman"/>
      <w:start w:val="1"/>
    </w:lvl>
  </w:abstractNum>
  <w:abstractNum w:abstractNumId="21">
    <w:nsid w:val="70A64E2A"/>
    <w:multiLevelType w:val="hybridMultilevel"/>
    <w:lvl w:ilvl="0">
      <w:lvlJc w:val="left"/>
      <w:lvlText w:val="%1."/>
      <w:numFmt w:val="decimal"/>
      <w:start w:val="6"/>
    </w:lvl>
  </w:abstractNum>
  <w:abstractNum w:abstractNumId="22">
    <w:nsid w:val="6A2342EC"/>
    <w:multiLevelType w:val="hybridMultilevel"/>
    <w:lvl w:ilvl="0">
      <w:lvlJc w:val="left"/>
      <w:lvlText w:val="%1."/>
      <w:numFmt w:val="decimal"/>
      <w:start w:val="7"/>
    </w:lvl>
  </w:abstractNum>
  <w:abstractNum w:abstractNumId="23">
    <w:nsid w:val="2A487CB0"/>
    <w:multiLevelType w:val="hybridMultilevel"/>
    <w:lvl w:ilvl="0">
      <w:lvlJc w:val="left"/>
      <w:lvlText w:val="%1."/>
      <w:numFmt w:val="decimal"/>
      <w:start w:val="8"/>
    </w:lvl>
  </w:abstractNum>
  <w:abstractNum w:abstractNumId="24">
    <w:nsid w:val="1D4ED43B"/>
    <w:multiLevelType w:val="hybridMultilevel"/>
    <w:lvl w:ilvl="0">
      <w:lvlJc w:val="left"/>
      <w:lvlText w:val="%1."/>
      <w:numFmt w:val="decimal"/>
      <w:start w:val="9"/>
    </w:lvl>
  </w:abstractNum>
  <w:abstractNum w:abstractNumId="25">
    <w:nsid w:val="725A06FB"/>
    <w:multiLevelType w:val="hybridMultilevel"/>
    <w:lvl w:ilvl="0">
      <w:lvlJc w:val="left"/>
      <w:lvlText w:val="%1."/>
      <w:numFmt w:val="decimal"/>
      <w:start w:val="10"/>
    </w:lvl>
  </w:abstractNum>
  <w:abstractNum w:abstractNumId="26">
    <w:nsid w:val="2CD89A32"/>
    <w:multiLevelType w:val="hybridMultilevel"/>
    <w:lvl w:ilvl="0">
      <w:lvlJc w:val="left"/>
      <w:lvlText w:val="%1."/>
      <w:numFmt w:val="decimal"/>
      <w:start w:val="11"/>
    </w:lvl>
  </w:abstractNum>
  <w:abstractNum w:abstractNumId="27">
    <w:nsid w:val="57E4CCAF"/>
    <w:multiLevelType w:val="hybridMultilevel"/>
    <w:lvl w:ilvl="0">
      <w:lvlJc w:val="left"/>
      <w:lvlText w:val="(%1)"/>
      <w:numFmt w:val="lowerRoman"/>
      <w:start w:val="2"/>
    </w:lvl>
  </w:abstractNum>
  <w:abstractNum w:abstractNumId="28">
    <w:nsid w:val="7A6D8D3C"/>
    <w:multiLevelType w:val="hybridMultilevel"/>
    <w:lvl w:ilvl="0">
      <w:lvlJc w:val="left"/>
      <w:lvlText w:val="%1."/>
      <w:numFmt w:val="decimal"/>
      <w:start w:val="12"/>
    </w:lvl>
  </w:abstractNum>
  <w:abstractNum w:abstractNumId="29">
    <w:nsid w:val="4B588F54"/>
    <w:multiLevelType w:val="hybridMultilevel"/>
    <w:lvl w:ilvl="0">
      <w:lvlJc w:val="left"/>
      <w:lvlText w:val="%1."/>
      <w:numFmt w:val="decimal"/>
      <w:start w:val="13"/>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decimal"/>
      <w:start w:val="14"/>
    </w:lvl>
  </w:abstractNum>
  <w:abstractNum w:abstractNumId="32">
    <w:nsid w:val="38437FDB"/>
    <w:multiLevelType w:val="hybridMultilevel"/>
    <w:lvl w:ilvl="0">
      <w:lvlJc w:val="left"/>
      <w:lvlText w:val="%1."/>
      <w:numFmt w:val="decimal"/>
      <w:start w:val="15"/>
    </w:lvl>
  </w:abstractNum>
  <w:abstractNum w:abstractNumId="33">
    <w:nsid w:val="7644A45C"/>
    <w:multiLevelType w:val="hybridMultilevel"/>
    <w:lvl w:ilvl="0">
      <w:lvlJc w:val="left"/>
      <w:lvlText w:val="%1."/>
      <w:numFmt w:val="decimal"/>
      <w:start w:val="16"/>
    </w:lvl>
  </w:abstractNum>
  <w:abstractNum w:abstractNumId="34">
    <w:nsid w:val="32FFF902"/>
    <w:multiLevelType w:val="hybridMultilevel"/>
    <w:lvl w:ilvl="0">
      <w:lvlJc w:val="left"/>
      <w:lvlText w:val="%1."/>
      <w:numFmt w:val="decimal"/>
      <w:start w:val="17"/>
    </w:lvl>
  </w:abstractNum>
  <w:abstractNum w:abstractNumId="35">
    <w:nsid w:val="684A481A"/>
    <w:multiLevelType w:val="hybridMultilevel"/>
    <w:lvl w:ilvl="0">
      <w:lvlJc w:val="left"/>
      <w:lvlText w:val="%1."/>
      <w:numFmt w:val="decimal"/>
      <w:start w:val="18"/>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lowerRoman"/>
      <w:start w:val="2"/>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04"/>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09" Type="http://schemas.openxmlformats.org/officeDocument/2006/relationships/hyperlink" Target="https://www.sec.gov/Archives/edgar/data/1802457/000119312521206309/d152805dex33.htm" TargetMode="External"/><Relationship Id="rId110" Type="http://schemas.openxmlformats.org/officeDocument/2006/relationships/hyperlink" Target="https://www.sec.gov/Archives/edgar/data/0001802457/000119312521203423/d19392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2022-11-03T16:54:44Z</dcterms:created>
  <dcterms:modified xsi:type="dcterms:W3CDTF">2022-11-03T16:54:44Z</dcterms:modified>
</cp:coreProperties>
</file>